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B844" w14:textId="77777777" w:rsidR="00DF564C" w:rsidRDefault="00DF564C" w:rsidP="00DF564C">
      <w:pPr>
        <w:rPr>
          <w:b/>
          <w:bCs/>
        </w:rPr>
      </w:pPr>
      <w:r>
        <w:rPr>
          <w:b/>
          <w:bCs/>
        </w:rPr>
        <w:t xml:space="preserve"> </w:t>
      </w:r>
    </w:p>
    <w:p w14:paraId="7000C6BA" w14:textId="52BC0646" w:rsidR="00DF564C" w:rsidRDefault="00DF564C" w:rsidP="00DF564C">
      <w:pPr>
        <w:jc w:val="center"/>
        <w:rPr>
          <w:b/>
          <w:bCs/>
        </w:rPr>
      </w:pPr>
      <w:r w:rsidRPr="00DF564C">
        <w:rPr>
          <w:b/>
          <w:bCs/>
        </w:rPr>
        <w:t>Repeat budget blowouts set to impact exporters</w:t>
      </w:r>
    </w:p>
    <w:p w14:paraId="25775073" w14:textId="7E7280D0" w:rsidR="00D00835" w:rsidRPr="00D00835" w:rsidRDefault="00D00835">
      <w:pPr>
        <w:rPr>
          <w:sz w:val="22"/>
          <w:szCs w:val="22"/>
        </w:rPr>
      </w:pPr>
      <w:r w:rsidRPr="00D00835">
        <w:rPr>
          <w:sz w:val="22"/>
          <w:szCs w:val="22"/>
        </w:rPr>
        <w:t>Read</w:t>
      </w:r>
      <w:r w:rsidRPr="00D00835">
        <w:rPr>
          <w:b/>
          <w:bCs/>
          <w:sz w:val="22"/>
          <w:szCs w:val="22"/>
        </w:rPr>
        <w:t xml:space="preserve"> </w:t>
      </w:r>
      <w:r w:rsidRPr="00D00835">
        <w:rPr>
          <w:b/>
          <w:bCs/>
          <w:i/>
          <w:iCs/>
          <w:sz w:val="22"/>
          <w:szCs w:val="22"/>
        </w:rPr>
        <w:t>“</w:t>
      </w:r>
      <w:r w:rsidRPr="00DF564C">
        <w:rPr>
          <w:b/>
          <w:bCs/>
          <w:i/>
          <w:iCs/>
          <w:sz w:val="22"/>
          <w:szCs w:val="22"/>
        </w:rPr>
        <w:t>Repeat budget blowouts set to impact exporters</w:t>
      </w:r>
      <w:r w:rsidRPr="00D00835">
        <w:rPr>
          <w:b/>
          <w:bCs/>
          <w:i/>
          <w:iCs/>
          <w:sz w:val="22"/>
          <w:szCs w:val="22"/>
        </w:rPr>
        <w:t>”</w:t>
      </w:r>
      <w:r w:rsidRPr="00D00835">
        <w:rPr>
          <w:b/>
          <w:bCs/>
          <w:sz w:val="22"/>
          <w:szCs w:val="22"/>
        </w:rPr>
        <w:t xml:space="preserve"> and “</w:t>
      </w:r>
      <w:hyperlink r:id="rId7" w:history="1">
        <w:r w:rsidRPr="00D00835">
          <w:rPr>
            <w:rStyle w:val="Hyperlink"/>
            <w:b/>
            <w:bCs/>
            <w:sz w:val="22"/>
            <w:szCs w:val="22"/>
          </w:rPr>
          <w:t>Proposed updates to MPI’s Recovery for plant and forestry export certification</w:t>
        </w:r>
      </w:hyperlink>
      <w:r w:rsidRPr="00D00835">
        <w:rPr>
          <w:b/>
          <w:bCs/>
          <w:sz w:val="22"/>
          <w:szCs w:val="22"/>
        </w:rPr>
        <w:t xml:space="preserve">”, </w:t>
      </w:r>
      <w:r w:rsidRPr="00D00835">
        <w:rPr>
          <w:sz w:val="22"/>
          <w:szCs w:val="22"/>
        </w:rPr>
        <w:t>then discuss and answer the following questions.</w:t>
      </w:r>
    </w:p>
    <w:p w14:paraId="20D0260F" w14:textId="77777777" w:rsidR="00E808F4" w:rsidRDefault="00E808F4">
      <w:pPr>
        <w:rPr>
          <w:b/>
          <w:bCs/>
        </w:rPr>
      </w:pPr>
    </w:p>
    <w:p w14:paraId="50333519" w14:textId="1688FFF5" w:rsidR="00DF564C" w:rsidRDefault="00DF564C">
      <w:pPr>
        <w:rPr>
          <w:b/>
          <w:bCs/>
        </w:rPr>
      </w:pPr>
      <w:r>
        <w:rPr>
          <w:b/>
          <w:bCs/>
        </w:rPr>
        <w:t>Questions</w:t>
      </w:r>
    </w:p>
    <w:p w14:paraId="0562B1D9" w14:textId="77777777" w:rsidR="00DF564C" w:rsidRPr="00DF564C" w:rsidRDefault="00DF564C" w:rsidP="00E808F4">
      <w:pPr>
        <w:pStyle w:val="ListParagraph"/>
        <w:numPr>
          <w:ilvl w:val="0"/>
          <w:numId w:val="1"/>
        </w:numPr>
        <w:spacing w:after="120" w:line="360" w:lineRule="auto"/>
        <w:rPr>
          <w:sz w:val="22"/>
          <w:szCs w:val="22"/>
        </w:rPr>
      </w:pPr>
      <w:r w:rsidRPr="00DF564C">
        <w:rPr>
          <w:sz w:val="22"/>
          <w:szCs w:val="22"/>
        </w:rPr>
        <w:t xml:space="preserve">Explain the key factors that have contributed to repeated budget blowouts in MPI’s phytosanitary certification service. </w:t>
      </w:r>
    </w:p>
    <w:p w14:paraId="30DE671C" w14:textId="77777777" w:rsidR="00DF564C" w:rsidRPr="00DF564C" w:rsidRDefault="00DF564C" w:rsidP="00E808F4">
      <w:pPr>
        <w:pStyle w:val="ListParagraph"/>
        <w:numPr>
          <w:ilvl w:val="0"/>
          <w:numId w:val="1"/>
        </w:numPr>
        <w:spacing w:after="120" w:line="360" w:lineRule="auto"/>
        <w:rPr>
          <w:sz w:val="22"/>
          <w:szCs w:val="22"/>
        </w:rPr>
      </w:pPr>
      <w:r w:rsidRPr="00DF564C">
        <w:rPr>
          <w:sz w:val="22"/>
          <w:szCs w:val="22"/>
        </w:rPr>
        <w:t xml:space="preserve">Analyse how the proposed increase in phytosanitary certificate fees could affect exporters’ short-term cashflow and operating budgets. </w:t>
      </w:r>
    </w:p>
    <w:p w14:paraId="30E2C25A" w14:textId="77777777" w:rsidR="00DF564C" w:rsidRPr="00DF564C" w:rsidRDefault="00DF564C" w:rsidP="00E808F4">
      <w:pPr>
        <w:pStyle w:val="ListParagraph"/>
        <w:numPr>
          <w:ilvl w:val="0"/>
          <w:numId w:val="1"/>
        </w:numPr>
        <w:spacing w:after="120" w:line="360" w:lineRule="auto"/>
        <w:rPr>
          <w:sz w:val="22"/>
          <w:szCs w:val="22"/>
        </w:rPr>
      </w:pPr>
      <w:r w:rsidRPr="00DF564C">
        <w:rPr>
          <w:sz w:val="22"/>
          <w:szCs w:val="22"/>
        </w:rPr>
        <w:t>Explain why sudden fee increases create budgeting and cashflow management challenges for exporters, particularly horticulture businesses.</w:t>
      </w:r>
    </w:p>
    <w:p w14:paraId="7855F558" w14:textId="77777777" w:rsidR="00DF564C" w:rsidRDefault="00DF564C" w:rsidP="00E808F4">
      <w:pPr>
        <w:pStyle w:val="ListParagraph"/>
        <w:numPr>
          <w:ilvl w:val="0"/>
          <w:numId w:val="1"/>
        </w:numPr>
        <w:spacing w:after="120" w:line="360" w:lineRule="auto"/>
        <w:rPr>
          <w:sz w:val="22"/>
          <w:szCs w:val="22"/>
        </w:rPr>
      </w:pPr>
      <w:r w:rsidRPr="00DF564C">
        <w:rPr>
          <w:sz w:val="22"/>
          <w:szCs w:val="22"/>
        </w:rPr>
        <w:t>Compare the financial impact on exporters of recovering MPI’s deficit over 13 months versus spreading it over three years.</w:t>
      </w:r>
    </w:p>
    <w:p w14:paraId="0C117380" w14:textId="6CAB07C5" w:rsidR="00DF564C" w:rsidRPr="00DF564C" w:rsidRDefault="00DF564C" w:rsidP="00E808F4">
      <w:pPr>
        <w:pStyle w:val="ListParagraph"/>
        <w:numPr>
          <w:ilvl w:val="0"/>
          <w:numId w:val="1"/>
        </w:numPr>
        <w:spacing w:after="120" w:line="360" w:lineRule="auto"/>
        <w:rPr>
          <w:sz w:val="22"/>
          <w:szCs w:val="22"/>
        </w:rPr>
      </w:pPr>
      <w:r w:rsidRPr="00DF564C">
        <w:rPr>
          <w:sz w:val="22"/>
          <w:szCs w:val="22"/>
        </w:rPr>
        <w:t>Discuss the potential long-term impacts on exporters if budget blowouts and cost recovery issues continue.</w:t>
      </w:r>
    </w:p>
    <w:p w14:paraId="75100F6A" w14:textId="28611E91" w:rsidR="00DF564C" w:rsidRDefault="00DF564C">
      <w:pPr>
        <w:rPr>
          <w:b/>
          <w:bCs/>
        </w:rPr>
      </w:pPr>
      <w:r>
        <w:rPr>
          <w:b/>
          <w:bCs/>
        </w:rPr>
        <w:br w:type="page"/>
      </w:r>
    </w:p>
    <w:p w14:paraId="4EC8D2F9" w14:textId="779DA000" w:rsidR="00DF564C" w:rsidRPr="00DF564C" w:rsidRDefault="00DF564C" w:rsidP="00DF564C">
      <w:pPr>
        <w:jc w:val="center"/>
        <w:rPr>
          <w:b/>
          <w:bCs/>
        </w:rPr>
      </w:pPr>
      <w:r w:rsidRPr="00DF564C">
        <w:rPr>
          <w:b/>
          <w:bCs/>
        </w:rPr>
        <w:lastRenderedPageBreak/>
        <w:t>Repeat budget blowouts set to impact exporters</w:t>
      </w:r>
    </w:p>
    <w:p w14:paraId="206A895C" w14:textId="2744CFB4" w:rsidR="00DF564C" w:rsidRPr="00DF564C" w:rsidRDefault="00DF564C" w:rsidP="00DF564C">
      <w:pPr>
        <w:rPr>
          <w:sz w:val="20"/>
          <w:szCs w:val="20"/>
        </w:rPr>
      </w:pPr>
      <w:hyperlink r:id="rId8" w:history="1">
        <w:r w:rsidRPr="00DF564C">
          <w:rPr>
            <w:rStyle w:val="Hyperlink"/>
            <w:sz w:val="20"/>
            <w:szCs w:val="20"/>
          </w:rPr>
          <w:t>https://www.agribusinessmagazine.co.nz/blog/repeat-budget-blowouts-set-to-impact-exporters</w:t>
        </w:r>
      </w:hyperlink>
      <w:r w:rsidRPr="00DF564C">
        <w:rPr>
          <w:sz w:val="20"/>
          <w:szCs w:val="20"/>
        </w:rPr>
        <w:t xml:space="preserve"> </w:t>
      </w:r>
    </w:p>
    <w:p w14:paraId="39CEAA18" w14:textId="7E085324" w:rsidR="00DF564C" w:rsidRPr="00DF564C" w:rsidRDefault="00DF564C" w:rsidP="00DF564C">
      <w:r w:rsidRPr="00DF564C">
        <w:t>Vital trade paperwork giving our plant and timber exports access to overseas markets is about to get much more expensive, and the only unknown at this stage is if the hit will be short and sharp, or slow and gradual.</w:t>
      </w:r>
    </w:p>
    <w:p w14:paraId="486032C2" w14:textId="60C31AFD" w:rsidR="00DF564C" w:rsidRPr="00DF564C" w:rsidRDefault="00DF564C" w:rsidP="00E808F4">
      <w:pPr>
        <w:jc w:val="center"/>
      </w:pPr>
      <w:r w:rsidRPr="00DF564C">
        <w:rPr>
          <w:noProof/>
        </w:rPr>
        <w:drawing>
          <wp:inline distT="0" distB="0" distL="0" distR="0" wp14:anchorId="636903EF" wp14:editId="417AAEA0">
            <wp:extent cx="4590339" cy="3042765"/>
            <wp:effectExtent l="0" t="0" r="1270" b="5715"/>
            <wp:docPr id="54897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4316" cy="3045401"/>
                    </a:xfrm>
                    <a:prstGeom prst="rect">
                      <a:avLst/>
                    </a:prstGeom>
                    <a:noFill/>
                    <a:ln>
                      <a:noFill/>
                    </a:ln>
                  </pic:spPr>
                </pic:pic>
              </a:graphicData>
            </a:graphic>
          </wp:inline>
        </w:drawing>
      </w:r>
    </w:p>
    <w:p w14:paraId="2D8826BA" w14:textId="77777777" w:rsidR="00DF564C" w:rsidRPr="00DF564C" w:rsidRDefault="00DF564C" w:rsidP="00DF564C">
      <w:r w:rsidRPr="00DF564C">
        <w:t>Apple exporters could pay up to $1 million more this coming year.</w:t>
      </w:r>
    </w:p>
    <w:p w14:paraId="5B4276C6" w14:textId="1D6EDF56" w:rsidR="00DF564C" w:rsidRPr="00DF564C" w:rsidRDefault="00E808F4" w:rsidP="00DF564C">
      <w:r>
        <w:t>Ministry of Primary Industries (</w:t>
      </w:r>
      <w:r w:rsidR="00DF564C" w:rsidRPr="00DF564C">
        <w:t>MPI</w:t>
      </w:r>
      <w:r>
        <w:t>)</w:t>
      </w:r>
      <w:r w:rsidR="00DF564C" w:rsidRPr="00DF564C">
        <w:t xml:space="preserve"> is the best part of three million dollars in the red for issuing phytosanitary certificates over the past two financial years alone and wants to make up that loss in 13 months, starting straight away.</w:t>
      </w:r>
    </w:p>
    <w:p w14:paraId="1FD37587" w14:textId="77777777" w:rsidR="00DF564C" w:rsidRPr="00DF564C" w:rsidRDefault="00DF564C" w:rsidP="00DF564C">
      <w:r w:rsidRPr="00DF564C">
        <w:t>That would mean the cost of getting plant products certified for sale overseas – including big-ticket export earners like kiwifruit – would more than double from $38.29 to $109.25 per certificate from 1 December.</w:t>
      </w:r>
    </w:p>
    <w:p w14:paraId="0E508F97" w14:textId="77777777" w:rsidR="00DF564C" w:rsidRPr="00DF564C" w:rsidRDefault="00DF564C" w:rsidP="00DF564C">
      <w:r w:rsidRPr="00DF564C">
        <w:t>In 2024/25, MPI issued nearly 61,000 phytosanitary certificates for plant products, the vast majority of which are fruit, vegetables, seed, grains and nuts.</w:t>
      </w:r>
    </w:p>
    <w:p w14:paraId="43A15BA3" w14:textId="07BAA765" w:rsidR="00DF564C" w:rsidRPr="00DF564C" w:rsidRDefault="00DF564C" w:rsidP="00DF564C">
      <w:r w:rsidRPr="00DF564C">
        <w:t>The proposed immediate increase in certificate fees would cost kiwifruit exporters $751,000 and apple exporters over $1 million for the 13 months ending 31 December 2026, according to MPI. After that, plant product certificate fees would drop closer to $60 each.</w:t>
      </w:r>
    </w:p>
    <w:p w14:paraId="20455681" w14:textId="18CC207D" w:rsidR="00DF564C" w:rsidRPr="00DF564C" w:rsidRDefault="00DF564C" w:rsidP="00DF564C">
      <w:r w:rsidRPr="00DF564C">
        <w:t>The ministry released its cost recovery plan 6 October, giving respondents three weeks to feedback on a single point – whether the plan is deployed over 13 months, or three years, as is the normal policy.</w:t>
      </w:r>
    </w:p>
    <w:p w14:paraId="1F1467FC" w14:textId="77777777" w:rsidR="00DF564C" w:rsidRPr="00DF564C" w:rsidRDefault="00DF564C" w:rsidP="00DF564C">
      <w:r w:rsidRPr="00DF564C">
        <w:lastRenderedPageBreak/>
        <w:t>At current fee rates and expenditure, the phytosanitary service will run at a loss of $7.276 million by 2027/28, the ministry says.</w:t>
      </w:r>
    </w:p>
    <w:p w14:paraId="6CE5EF35" w14:textId="77777777" w:rsidR="00DF564C" w:rsidRPr="00DF564C" w:rsidRDefault="00DF564C" w:rsidP="00DF564C">
      <w:r w:rsidRPr="00DF564C">
        <w:t>It has already transferred $2.818 million of deficit accumulated by the system before 30 June 2023 to NZ taxpayers via the Crown under the then Labour Government.</w:t>
      </w:r>
    </w:p>
    <w:p w14:paraId="4C16BB17" w14:textId="2F9300F1" w:rsidR="00DF564C" w:rsidRPr="00DF564C" w:rsidRDefault="00DF564C" w:rsidP="00DF564C">
      <w:r w:rsidRPr="00DF564C">
        <w:t>Nonetheless, MPI still spent $1.5 million more on phytosanitary certification than it earned for 2023/24 and closed its books for the service on an accumulated loss of $2.731 million for 2024/25.</w:t>
      </w:r>
    </w:p>
    <w:p w14:paraId="1F143E7E" w14:textId="77777777" w:rsidR="00DF564C" w:rsidRPr="00DF564C" w:rsidRDefault="00DF564C" w:rsidP="00DF564C">
      <w:r w:rsidRPr="00DF564C">
        <w:t>MPI blames the continual shortfalls on less revenue caused by a temporary drop in certificate volumes in the four years to June 2024, plus rising service costs.</w:t>
      </w:r>
    </w:p>
    <w:p w14:paraId="66AE3925" w14:textId="77777777" w:rsidR="00DF564C" w:rsidRPr="00DF564C" w:rsidRDefault="00DF564C" w:rsidP="00DF564C">
      <w:r w:rsidRPr="00DF564C">
        <w:t>It says costs have risen because of inflation, and enhanced certification processes to meet the needs of trading partners. It also says increased market access activity has contributed to cost increases, as have system investments.</w:t>
      </w:r>
    </w:p>
    <w:p w14:paraId="44D32452" w14:textId="77777777" w:rsidR="00DF564C" w:rsidRPr="00DF564C" w:rsidRDefault="00DF564C" w:rsidP="00DF564C">
      <w:r w:rsidRPr="00DF564C">
        <w:t>These investments include the 2019 launch of an electronic interface that just three years later was described in MPI tender documents as one of five ‘aging systems’ to be replaced with a completely new cloud-based technology package.</w:t>
      </w:r>
    </w:p>
    <w:p w14:paraId="73253C7F" w14:textId="77777777" w:rsidR="00DF564C" w:rsidRPr="00DF564C" w:rsidRDefault="00DF564C" w:rsidP="00DF564C">
      <w:r w:rsidRPr="00DF564C">
        <w:t>Between the years ending 2021 and 2025, MPI’s expenditure on total plant and forestry export certification rose 36 per cent from $2.424 million to $3.301 million, or approximately seven per cent a year.</w:t>
      </w:r>
    </w:p>
    <w:p w14:paraId="768EC4C0" w14:textId="77777777" w:rsidR="00DF564C" w:rsidRPr="00DF564C" w:rsidRDefault="00DF564C" w:rsidP="00DF564C">
      <w:r w:rsidRPr="00DF564C">
        <w:t>It says expenditure will rise a further 15.9 per cent to $3.826 million by 2027/28, most of which is related to MPI personnel. The service had 13.36 full-time equivalent employees in 2021/22, compared with 15.28 in 2024/25.</w:t>
      </w:r>
    </w:p>
    <w:p w14:paraId="5E1EFA40" w14:textId="77777777" w:rsidR="00DF564C" w:rsidRPr="00DF564C" w:rsidRDefault="00DF564C" w:rsidP="00DF564C">
      <w:r w:rsidRPr="00DF564C">
        <w:t>Personnel and overhead costs for 2025/26 are forecast to be $322,000 higher than 2024/25, a rise of 18 per cent in 12 months.</w:t>
      </w:r>
    </w:p>
    <w:p w14:paraId="7932726C" w14:textId="63FDF7F4" w:rsidR="00DF564C" w:rsidRDefault="00DF564C">
      <w:r w:rsidRPr="00DF564C">
        <w:t xml:space="preserve">“The increasing personnel and overhead cost </w:t>
      </w:r>
      <w:r w:rsidR="00E808F4" w:rsidRPr="00DF564C">
        <w:t>are</w:t>
      </w:r>
      <w:r w:rsidRPr="00DF564C">
        <w:t xml:space="preserve"> due to increased effort required by MPI staff to maintain current levels of servicing,” it says.</w:t>
      </w:r>
      <w:r>
        <w:br w:type="page"/>
      </w:r>
    </w:p>
    <w:p w14:paraId="296ADB2A" w14:textId="3E466BA7" w:rsidR="00C23EE4" w:rsidRPr="00DF564C" w:rsidRDefault="00E808F4">
      <w:pPr>
        <w:rPr>
          <w:b/>
          <w:bCs/>
        </w:rPr>
      </w:pPr>
      <w:r>
        <w:rPr>
          <w:b/>
          <w:bCs/>
        </w:rPr>
        <w:lastRenderedPageBreak/>
        <w:t>A</w:t>
      </w:r>
      <w:r w:rsidR="00DF564C" w:rsidRPr="00DF564C">
        <w:rPr>
          <w:b/>
          <w:bCs/>
        </w:rPr>
        <w:t>nswers</w:t>
      </w:r>
    </w:p>
    <w:p w14:paraId="7962D8FB" w14:textId="0A30C7FC" w:rsidR="00DF564C" w:rsidRPr="00DF564C" w:rsidRDefault="00DF564C" w:rsidP="00DF564C">
      <w:pPr>
        <w:pStyle w:val="ListParagraph"/>
        <w:numPr>
          <w:ilvl w:val="0"/>
          <w:numId w:val="7"/>
        </w:numPr>
        <w:spacing w:after="120" w:line="240" w:lineRule="auto"/>
        <w:rPr>
          <w:sz w:val="22"/>
          <w:szCs w:val="22"/>
        </w:rPr>
      </w:pPr>
      <w:r w:rsidRPr="00DF564C">
        <w:rPr>
          <w:sz w:val="22"/>
          <w:szCs w:val="22"/>
        </w:rPr>
        <w:t>Explain the key factors that have contributed to repeated budget blowouts in MPI’s phytosanitary certification service.</w:t>
      </w:r>
    </w:p>
    <w:p w14:paraId="602B0DD1" w14:textId="77777777" w:rsidR="00DF564C" w:rsidRPr="00DF564C" w:rsidRDefault="00DF564C" w:rsidP="00DF564C">
      <w:pPr>
        <w:spacing w:after="120" w:line="240" w:lineRule="auto"/>
        <w:ind w:left="360"/>
        <w:rPr>
          <w:sz w:val="22"/>
          <w:szCs w:val="22"/>
        </w:rPr>
      </w:pPr>
      <w:r w:rsidRPr="00DF564C">
        <w:rPr>
          <w:sz w:val="22"/>
          <w:szCs w:val="22"/>
        </w:rPr>
        <w:t>Several factors have driven repeated budget blowouts in MPI’s phytosanitary certification account:</w:t>
      </w:r>
    </w:p>
    <w:p w14:paraId="6EBDF5D9" w14:textId="62543089" w:rsidR="00DF564C" w:rsidRPr="00DF564C" w:rsidRDefault="00DF564C" w:rsidP="00DF564C">
      <w:pPr>
        <w:numPr>
          <w:ilvl w:val="0"/>
          <w:numId w:val="2"/>
        </w:numPr>
        <w:spacing w:after="120" w:line="240" w:lineRule="auto"/>
        <w:rPr>
          <w:sz w:val="22"/>
          <w:szCs w:val="22"/>
        </w:rPr>
      </w:pPr>
      <w:r w:rsidRPr="00DF564C">
        <w:rPr>
          <w:sz w:val="22"/>
          <w:szCs w:val="22"/>
        </w:rPr>
        <w:t xml:space="preserve">Revenue shortfalls: There has been a temporary drop in certificate volumes from about 2019/20 to 2023/24, meaning MPI collected less fee revenue than forecast, contributing to operating losses. </w:t>
      </w:r>
    </w:p>
    <w:p w14:paraId="088D6764" w14:textId="6AE4B081" w:rsidR="00DF564C" w:rsidRPr="00DF564C" w:rsidRDefault="00DF564C" w:rsidP="00DF564C">
      <w:pPr>
        <w:numPr>
          <w:ilvl w:val="0"/>
          <w:numId w:val="2"/>
        </w:numPr>
        <w:spacing w:after="120" w:line="240" w:lineRule="auto"/>
        <w:rPr>
          <w:sz w:val="22"/>
          <w:szCs w:val="22"/>
        </w:rPr>
      </w:pPr>
      <w:r w:rsidRPr="00DF564C">
        <w:rPr>
          <w:sz w:val="22"/>
          <w:szCs w:val="22"/>
        </w:rPr>
        <w:t>Rising service costs: Expenditure on total plant and forestry export certification climbed from $2.424 million in 2021/22 to $3.301 million in 2024/25</w:t>
      </w:r>
      <w:r w:rsidR="00D00835">
        <w:rPr>
          <w:sz w:val="22"/>
          <w:szCs w:val="22"/>
        </w:rPr>
        <w:t xml:space="preserve">, </w:t>
      </w:r>
      <w:r w:rsidRPr="00DF564C">
        <w:rPr>
          <w:sz w:val="22"/>
          <w:szCs w:val="22"/>
        </w:rPr>
        <w:t xml:space="preserve">a 36 % increase driven mainly by inflation and higher regulatory requirements. </w:t>
      </w:r>
    </w:p>
    <w:p w14:paraId="33C42DFD" w14:textId="52D6D25B" w:rsidR="00DF564C" w:rsidRPr="00DF564C" w:rsidRDefault="00DF564C" w:rsidP="00DF564C">
      <w:pPr>
        <w:numPr>
          <w:ilvl w:val="0"/>
          <w:numId w:val="2"/>
        </w:numPr>
        <w:spacing w:after="120" w:line="240" w:lineRule="auto"/>
        <w:rPr>
          <w:sz w:val="22"/>
          <w:szCs w:val="22"/>
        </w:rPr>
      </w:pPr>
      <w:r w:rsidRPr="00DF564C">
        <w:rPr>
          <w:sz w:val="22"/>
          <w:szCs w:val="22"/>
        </w:rPr>
        <w:t xml:space="preserve">Inflation and increased obligations: Cost drivers include general inflation (CPI up ~57 % from 2007 to 2025) and enhanced certification processes required by trading partners, which involve more complex checks and documentation. </w:t>
      </w:r>
    </w:p>
    <w:p w14:paraId="08250167" w14:textId="09C49AE9" w:rsidR="00DF564C" w:rsidRPr="00DF564C" w:rsidRDefault="00DF564C" w:rsidP="00DF564C">
      <w:pPr>
        <w:numPr>
          <w:ilvl w:val="0"/>
          <w:numId w:val="2"/>
        </w:numPr>
        <w:spacing w:after="120" w:line="240" w:lineRule="auto"/>
        <w:rPr>
          <w:sz w:val="22"/>
          <w:szCs w:val="22"/>
        </w:rPr>
      </w:pPr>
      <w:r w:rsidRPr="00DF564C">
        <w:rPr>
          <w:sz w:val="22"/>
          <w:szCs w:val="22"/>
        </w:rPr>
        <w:t xml:space="preserve">System and market access investments: MPI has invested in digital systems (like the Tahora interface) and market access activities, which raise ongoing maintenance and operational costs. </w:t>
      </w:r>
    </w:p>
    <w:p w14:paraId="0EB392A1" w14:textId="436DCC1B" w:rsidR="00DF564C" w:rsidRPr="00DF564C" w:rsidRDefault="00DF564C" w:rsidP="00DF564C">
      <w:pPr>
        <w:numPr>
          <w:ilvl w:val="0"/>
          <w:numId w:val="2"/>
        </w:numPr>
        <w:spacing w:after="120" w:line="240" w:lineRule="auto"/>
        <w:rPr>
          <w:sz w:val="22"/>
          <w:szCs w:val="22"/>
        </w:rPr>
      </w:pPr>
      <w:r w:rsidRPr="00DF564C">
        <w:rPr>
          <w:sz w:val="22"/>
          <w:szCs w:val="22"/>
        </w:rPr>
        <w:t>Deficit carryover: The account has accumulated significant deficit balances, including a $2.818 million deficit transferred to taxpayers, and continues to run at a loss (a $1.228 million deficit in 2024/25 alone).</w:t>
      </w:r>
      <w:r w:rsidR="00D00835" w:rsidRPr="00DF564C">
        <w:rPr>
          <w:sz w:val="22"/>
          <w:szCs w:val="22"/>
        </w:rPr>
        <w:t xml:space="preserve"> </w:t>
      </w:r>
    </w:p>
    <w:p w14:paraId="1A0CE589" w14:textId="77777777" w:rsidR="00DF564C" w:rsidRPr="00DF564C" w:rsidRDefault="00DF564C" w:rsidP="00D00835">
      <w:pPr>
        <w:spacing w:after="120" w:line="240" w:lineRule="auto"/>
        <w:ind w:left="360"/>
        <w:rPr>
          <w:sz w:val="22"/>
          <w:szCs w:val="22"/>
        </w:rPr>
      </w:pPr>
      <w:r w:rsidRPr="00DF564C">
        <w:rPr>
          <w:sz w:val="22"/>
          <w:szCs w:val="22"/>
        </w:rPr>
        <w:t>Together, these factors have meant that costs have risen faster than fees collected, leading to ongoing budget blowouts.</w:t>
      </w:r>
    </w:p>
    <w:p w14:paraId="28BBBC19" w14:textId="77777777" w:rsidR="00D00835" w:rsidRDefault="00D00835" w:rsidP="00DF564C">
      <w:pPr>
        <w:spacing w:after="120" w:line="240" w:lineRule="auto"/>
        <w:rPr>
          <w:sz w:val="22"/>
          <w:szCs w:val="22"/>
        </w:rPr>
      </w:pPr>
    </w:p>
    <w:p w14:paraId="39DEF5C4" w14:textId="6CDCEC4E" w:rsidR="00DF564C" w:rsidRPr="00D00835" w:rsidRDefault="00DF564C" w:rsidP="00D00835">
      <w:pPr>
        <w:pStyle w:val="ListParagraph"/>
        <w:numPr>
          <w:ilvl w:val="0"/>
          <w:numId w:val="7"/>
        </w:numPr>
        <w:spacing w:after="120" w:line="240" w:lineRule="auto"/>
        <w:rPr>
          <w:sz w:val="22"/>
          <w:szCs w:val="22"/>
        </w:rPr>
      </w:pPr>
      <w:r w:rsidRPr="00D00835">
        <w:rPr>
          <w:sz w:val="22"/>
          <w:szCs w:val="22"/>
        </w:rPr>
        <w:t>Analyse how the proposed increase in phytosanitary certificate fees could affect exporters’ short-term cashflow and operating budgets.</w:t>
      </w:r>
    </w:p>
    <w:p w14:paraId="39872E0E" w14:textId="0316AB13" w:rsidR="00DF564C" w:rsidRPr="00DF564C" w:rsidRDefault="00DF564C" w:rsidP="00D00835">
      <w:pPr>
        <w:spacing w:after="120" w:line="240" w:lineRule="auto"/>
        <w:ind w:left="360"/>
        <w:rPr>
          <w:sz w:val="22"/>
          <w:szCs w:val="22"/>
        </w:rPr>
      </w:pPr>
      <w:r w:rsidRPr="00DF564C">
        <w:rPr>
          <w:sz w:val="22"/>
          <w:szCs w:val="22"/>
        </w:rPr>
        <w:t xml:space="preserve">The proposed fee </w:t>
      </w:r>
      <w:r w:rsidR="00EB599B" w:rsidRPr="00DF564C">
        <w:rPr>
          <w:sz w:val="22"/>
          <w:szCs w:val="22"/>
        </w:rPr>
        <w:t>increase</w:t>
      </w:r>
      <w:r w:rsidR="00EB599B">
        <w:rPr>
          <w:sz w:val="22"/>
          <w:szCs w:val="22"/>
        </w:rPr>
        <w:t>,</w:t>
      </w:r>
      <w:r w:rsidRPr="00DF564C">
        <w:rPr>
          <w:sz w:val="22"/>
          <w:szCs w:val="22"/>
        </w:rPr>
        <w:t xml:space="preserve"> from $38.29 to $109.25 per certificate effective from 1 December would more than double the cost of phytosanitary certification needed to export plant products. </w:t>
      </w:r>
    </w:p>
    <w:p w14:paraId="11FE9E5D" w14:textId="23458C07" w:rsidR="00DF564C" w:rsidRPr="00DF564C" w:rsidRDefault="00DF564C" w:rsidP="00DF564C">
      <w:pPr>
        <w:numPr>
          <w:ilvl w:val="0"/>
          <w:numId w:val="3"/>
        </w:numPr>
        <w:spacing w:after="120" w:line="240" w:lineRule="auto"/>
        <w:rPr>
          <w:sz w:val="22"/>
          <w:szCs w:val="22"/>
        </w:rPr>
      </w:pPr>
      <w:r w:rsidRPr="00DF564C">
        <w:rPr>
          <w:sz w:val="22"/>
          <w:szCs w:val="22"/>
        </w:rPr>
        <w:t xml:space="preserve">With MPI issuing nearly 61,000 certificates in 2024/25, this jump could significantly increase export costs. </w:t>
      </w:r>
    </w:p>
    <w:p w14:paraId="700E1000" w14:textId="77777777" w:rsidR="00DF564C" w:rsidRPr="00DF564C" w:rsidRDefault="00DF564C" w:rsidP="00DF564C">
      <w:pPr>
        <w:numPr>
          <w:ilvl w:val="0"/>
          <w:numId w:val="3"/>
        </w:numPr>
        <w:spacing w:after="120" w:line="240" w:lineRule="auto"/>
        <w:rPr>
          <w:sz w:val="22"/>
          <w:szCs w:val="22"/>
        </w:rPr>
      </w:pPr>
      <w:r w:rsidRPr="00DF564C">
        <w:rPr>
          <w:sz w:val="22"/>
          <w:szCs w:val="22"/>
        </w:rPr>
        <w:t>For kiwifruit exporters, this means an estimated $751,000 in extra charges over 13 months.</w:t>
      </w:r>
    </w:p>
    <w:p w14:paraId="6688D55F" w14:textId="77777777" w:rsidR="00DF564C" w:rsidRPr="00DF564C" w:rsidRDefault="00DF564C" w:rsidP="00DF564C">
      <w:pPr>
        <w:numPr>
          <w:ilvl w:val="0"/>
          <w:numId w:val="3"/>
        </w:numPr>
        <w:spacing w:after="120" w:line="240" w:lineRule="auto"/>
        <w:rPr>
          <w:sz w:val="22"/>
          <w:szCs w:val="22"/>
        </w:rPr>
      </w:pPr>
      <w:r w:rsidRPr="00DF564C">
        <w:rPr>
          <w:sz w:val="22"/>
          <w:szCs w:val="22"/>
        </w:rPr>
        <w:t>For apple exporters, the cost could rise by over $1 million in the same period.</w:t>
      </w:r>
    </w:p>
    <w:p w14:paraId="2A6E83A4" w14:textId="77777777" w:rsidR="00DF564C" w:rsidRPr="00DF564C" w:rsidRDefault="00DF564C" w:rsidP="00D00835">
      <w:pPr>
        <w:spacing w:after="120" w:line="240" w:lineRule="auto"/>
        <w:ind w:left="360"/>
        <w:rPr>
          <w:sz w:val="22"/>
          <w:szCs w:val="22"/>
        </w:rPr>
      </w:pPr>
      <w:r w:rsidRPr="00DF564C">
        <w:rPr>
          <w:sz w:val="22"/>
          <w:szCs w:val="22"/>
        </w:rPr>
        <w:t>These increases reduce exporters’ available cash for other operating costs by increasing their variable expenses, potentially tightening short-term budgets. For horticulture businesses that operate on relatively thin margins or depend on bulk shipping, this extra outlay could affect decisions about production levels, marketing, and investment in future capacity.</w:t>
      </w:r>
    </w:p>
    <w:p w14:paraId="7A4CF42A" w14:textId="77777777" w:rsidR="00EB599B" w:rsidRDefault="00EB599B">
      <w:pPr>
        <w:rPr>
          <w:sz w:val="22"/>
          <w:szCs w:val="22"/>
        </w:rPr>
      </w:pPr>
    </w:p>
    <w:p w14:paraId="2D573BB5" w14:textId="77777777" w:rsidR="00EB599B" w:rsidRDefault="00EB599B">
      <w:pPr>
        <w:rPr>
          <w:sz w:val="22"/>
          <w:szCs w:val="22"/>
        </w:rPr>
      </w:pPr>
    </w:p>
    <w:p w14:paraId="00A65B31" w14:textId="069A545E" w:rsidR="00D00835" w:rsidRDefault="00D00835">
      <w:pPr>
        <w:rPr>
          <w:sz w:val="22"/>
          <w:szCs w:val="22"/>
        </w:rPr>
      </w:pPr>
    </w:p>
    <w:p w14:paraId="27EF8A9C" w14:textId="09843EB1" w:rsidR="00DF564C" w:rsidRPr="00D00835" w:rsidRDefault="00DF564C" w:rsidP="00D00835">
      <w:pPr>
        <w:pStyle w:val="ListParagraph"/>
        <w:numPr>
          <w:ilvl w:val="0"/>
          <w:numId w:val="7"/>
        </w:numPr>
        <w:spacing w:after="120" w:line="240" w:lineRule="auto"/>
        <w:rPr>
          <w:sz w:val="22"/>
          <w:szCs w:val="22"/>
        </w:rPr>
      </w:pPr>
      <w:r w:rsidRPr="00D00835">
        <w:rPr>
          <w:sz w:val="22"/>
          <w:szCs w:val="22"/>
        </w:rPr>
        <w:lastRenderedPageBreak/>
        <w:t>Explain why sudden fee increases create budgeting and cashflow management challenges for exporters, particularly horticulture businesses.</w:t>
      </w:r>
    </w:p>
    <w:p w14:paraId="2BA541B0" w14:textId="77777777" w:rsidR="00DF564C" w:rsidRPr="00DF564C" w:rsidRDefault="00DF564C" w:rsidP="00D00835">
      <w:pPr>
        <w:spacing w:after="120" w:line="240" w:lineRule="auto"/>
        <w:ind w:firstLine="360"/>
        <w:rPr>
          <w:sz w:val="22"/>
          <w:szCs w:val="22"/>
        </w:rPr>
      </w:pPr>
      <w:r w:rsidRPr="00DF564C">
        <w:rPr>
          <w:sz w:val="22"/>
          <w:szCs w:val="22"/>
        </w:rPr>
        <w:t>Sudden fee increases create challenges because:</w:t>
      </w:r>
    </w:p>
    <w:p w14:paraId="7DD5CD8F" w14:textId="2E9CC26E" w:rsidR="00DF564C" w:rsidRPr="00DF564C" w:rsidRDefault="00DF564C" w:rsidP="00DF564C">
      <w:pPr>
        <w:numPr>
          <w:ilvl w:val="0"/>
          <w:numId w:val="4"/>
        </w:numPr>
        <w:spacing w:after="120" w:line="240" w:lineRule="auto"/>
        <w:rPr>
          <w:sz w:val="22"/>
          <w:szCs w:val="22"/>
        </w:rPr>
      </w:pPr>
      <w:r w:rsidRPr="00DF564C">
        <w:rPr>
          <w:sz w:val="22"/>
          <w:szCs w:val="22"/>
        </w:rPr>
        <w:t>Unplanned costs: A jump from $38 to over $109 per certificate is unanticipated, making it hard to forecast expenses accurately in annual budgets.</w:t>
      </w:r>
    </w:p>
    <w:p w14:paraId="0E3BD1E0" w14:textId="5AB4716C" w:rsidR="00DF564C" w:rsidRPr="00DF564C" w:rsidRDefault="00DF564C" w:rsidP="00DF564C">
      <w:pPr>
        <w:numPr>
          <w:ilvl w:val="0"/>
          <w:numId w:val="4"/>
        </w:numPr>
        <w:spacing w:after="120" w:line="240" w:lineRule="auto"/>
        <w:rPr>
          <w:sz w:val="22"/>
          <w:szCs w:val="22"/>
        </w:rPr>
      </w:pPr>
      <w:r w:rsidRPr="00DF564C">
        <w:rPr>
          <w:sz w:val="22"/>
          <w:szCs w:val="22"/>
        </w:rPr>
        <w:t xml:space="preserve">Timing pressure: MPI’s proposal to recover the deficit over 13 months (instead of the usual three years) means most of the cost hit would be concentrated in a short timeframe, intensifying cashflow pressure. </w:t>
      </w:r>
    </w:p>
    <w:p w14:paraId="27EF39A5" w14:textId="77777777" w:rsidR="00DF564C" w:rsidRPr="00DF564C" w:rsidRDefault="00DF564C" w:rsidP="00DF564C">
      <w:pPr>
        <w:numPr>
          <w:ilvl w:val="0"/>
          <w:numId w:val="4"/>
        </w:numPr>
        <w:spacing w:after="120" w:line="240" w:lineRule="auto"/>
        <w:rPr>
          <w:sz w:val="22"/>
          <w:szCs w:val="22"/>
        </w:rPr>
      </w:pPr>
      <w:r w:rsidRPr="00DF564C">
        <w:rPr>
          <w:sz w:val="22"/>
          <w:szCs w:val="22"/>
        </w:rPr>
        <w:t>Seasonal cashflow variability: Horticulture cycles mean cash revenue is often concentrated around harvest and export seasons, so unexpected fee increases can coincide with periods when cash is already stretched.</w:t>
      </w:r>
    </w:p>
    <w:p w14:paraId="1F833C6B" w14:textId="77777777" w:rsidR="00DF564C" w:rsidRPr="00DF564C" w:rsidRDefault="00DF564C" w:rsidP="00DF564C">
      <w:pPr>
        <w:numPr>
          <w:ilvl w:val="0"/>
          <w:numId w:val="4"/>
        </w:numPr>
        <w:spacing w:after="120" w:line="240" w:lineRule="auto"/>
        <w:rPr>
          <w:sz w:val="22"/>
          <w:szCs w:val="22"/>
        </w:rPr>
      </w:pPr>
      <w:r w:rsidRPr="00DF564C">
        <w:rPr>
          <w:sz w:val="22"/>
          <w:szCs w:val="22"/>
        </w:rPr>
        <w:t>Impact on pricing and competitiveness: If exporters pass costs on to buyers, this may reduce competitiveness in global markets; if they absorb the costs, profits shrink.</w:t>
      </w:r>
    </w:p>
    <w:p w14:paraId="08B1A7AC" w14:textId="77777777" w:rsidR="00DF564C" w:rsidRPr="00DF564C" w:rsidRDefault="00DF564C" w:rsidP="00D00835">
      <w:pPr>
        <w:spacing w:after="120" w:line="240" w:lineRule="auto"/>
        <w:ind w:left="360"/>
        <w:rPr>
          <w:sz w:val="22"/>
          <w:szCs w:val="22"/>
        </w:rPr>
      </w:pPr>
      <w:r w:rsidRPr="00DF564C">
        <w:rPr>
          <w:sz w:val="22"/>
          <w:szCs w:val="22"/>
        </w:rPr>
        <w:t>In short, sudden cost increases disrupt planning and can force businesses to divert funds from growth or operational cushions just to cover baseline export compliance costs.</w:t>
      </w:r>
    </w:p>
    <w:p w14:paraId="022B4728" w14:textId="77777777" w:rsidR="00D00835" w:rsidRDefault="00D00835" w:rsidP="00DF564C">
      <w:pPr>
        <w:spacing w:after="120" w:line="240" w:lineRule="auto"/>
        <w:rPr>
          <w:sz w:val="22"/>
          <w:szCs w:val="22"/>
        </w:rPr>
      </w:pPr>
    </w:p>
    <w:p w14:paraId="4142360D" w14:textId="78815145" w:rsidR="00DF564C" w:rsidRPr="00D00835" w:rsidRDefault="00DF564C" w:rsidP="00D00835">
      <w:pPr>
        <w:pStyle w:val="ListParagraph"/>
        <w:numPr>
          <w:ilvl w:val="0"/>
          <w:numId w:val="7"/>
        </w:numPr>
        <w:spacing w:after="120" w:line="240" w:lineRule="auto"/>
        <w:rPr>
          <w:sz w:val="22"/>
          <w:szCs w:val="22"/>
        </w:rPr>
      </w:pPr>
      <w:r w:rsidRPr="00D00835">
        <w:rPr>
          <w:sz w:val="22"/>
          <w:szCs w:val="22"/>
        </w:rPr>
        <w:t>Compare the financial impact on exporters of recovering MPI’s deficit over 13 months versus spreading it over three years.</w:t>
      </w:r>
    </w:p>
    <w:p w14:paraId="24206219" w14:textId="4E0FF2C7" w:rsidR="00DF564C" w:rsidRPr="00DF564C" w:rsidRDefault="00DF564C" w:rsidP="00DF564C">
      <w:pPr>
        <w:numPr>
          <w:ilvl w:val="0"/>
          <w:numId w:val="5"/>
        </w:numPr>
        <w:spacing w:after="120" w:line="240" w:lineRule="auto"/>
        <w:rPr>
          <w:sz w:val="22"/>
          <w:szCs w:val="22"/>
        </w:rPr>
      </w:pPr>
      <w:r w:rsidRPr="00DF564C">
        <w:rPr>
          <w:sz w:val="22"/>
          <w:szCs w:val="22"/>
        </w:rPr>
        <w:t xml:space="preserve">13-month recovery: Exporters would pay the bulk of the deficit cost quickly, meaning larger short-term cash outflows. For example, if fees jump to $109.25 immediately and remain high for only 13 months, exporters absorb significant costs upfront but then return to lower ongoing rates sooner. </w:t>
      </w:r>
    </w:p>
    <w:p w14:paraId="0960169A" w14:textId="77777777" w:rsidR="00DF564C" w:rsidRPr="00DF564C" w:rsidRDefault="00DF564C" w:rsidP="00DF564C">
      <w:pPr>
        <w:numPr>
          <w:ilvl w:val="1"/>
          <w:numId w:val="5"/>
        </w:numPr>
        <w:spacing w:after="120" w:line="240" w:lineRule="auto"/>
        <w:rPr>
          <w:sz w:val="22"/>
          <w:szCs w:val="22"/>
        </w:rPr>
      </w:pPr>
      <w:r w:rsidRPr="00DF564C">
        <w:rPr>
          <w:sz w:val="22"/>
          <w:szCs w:val="22"/>
        </w:rPr>
        <w:t>This may cause more acute cashflow strain, particularly for smaller exporters or those with concentrated seasonal sales.</w:t>
      </w:r>
    </w:p>
    <w:p w14:paraId="464FCA4B" w14:textId="77777777" w:rsidR="00DF564C" w:rsidRPr="00DF564C" w:rsidRDefault="00DF564C" w:rsidP="00DF564C">
      <w:pPr>
        <w:numPr>
          <w:ilvl w:val="0"/>
          <w:numId w:val="5"/>
        </w:numPr>
        <w:spacing w:after="120" w:line="240" w:lineRule="auto"/>
        <w:rPr>
          <w:sz w:val="22"/>
          <w:szCs w:val="22"/>
        </w:rPr>
      </w:pPr>
      <w:r w:rsidRPr="00DF564C">
        <w:rPr>
          <w:sz w:val="22"/>
          <w:szCs w:val="22"/>
        </w:rPr>
        <w:t>Three-year recovery: Spreading the deficit over three years would mean more gradual increases in fees, easing year-to-year budgeting and reducing immediate cashflow impact.</w:t>
      </w:r>
    </w:p>
    <w:p w14:paraId="7E10697F" w14:textId="77777777" w:rsidR="00DF564C" w:rsidRPr="00DF564C" w:rsidRDefault="00DF564C" w:rsidP="00DF564C">
      <w:pPr>
        <w:numPr>
          <w:ilvl w:val="1"/>
          <w:numId w:val="5"/>
        </w:numPr>
        <w:spacing w:after="120" w:line="240" w:lineRule="auto"/>
        <w:rPr>
          <w:sz w:val="22"/>
          <w:szCs w:val="22"/>
        </w:rPr>
      </w:pPr>
      <w:r w:rsidRPr="00DF564C">
        <w:rPr>
          <w:sz w:val="22"/>
          <w:szCs w:val="22"/>
        </w:rPr>
        <w:t>Exporters could plan incremental cost increases into their budgets rather than facing a large one-year spike.</w:t>
      </w:r>
    </w:p>
    <w:p w14:paraId="56AC2D90" w14:textId="77777777" w:rsidR="00DF564C" w:rsidRDefault="00DF564C" w:rsidP="00D00835">
      <w:pPr>
        <w:spacing w:after="120" w:line="240" w:lineRule="auto"/>
        <w:ind w:left="360"/>
        <w:rPr>
          <w:sz w:val="22"/>
          <w:szCs w:val="22"/>
        </w:rPr>
      </w:pPr>
      <w:r w:rsidRPr="00DF564C">
        <w:rPr>
          <w:sz w:val="22"/>
          <w:szCs w:val="22"/>
        </w:rPr>
        <w:t>Economically, the three-year option is likely more manageable and predictable, smoothing the cost burden over time and reducing the risk of short-term financial stress for exporters.</w:t>
      </w:r>
    </w:p>
    <w:p w14:paraId="4784AF1C" w14:textId="77777777" w:rsidR="00246A81" w:rsidRPr="00DF564C" w:rsidRDefault="00246A81" w:rsidP="00D00835">
      <w:pPr>
        <w:spacing w:after="120" w:line="240" w:lineRule="auto"/>
        <w:ind w:left="360"/>
        <w:rPr>
          <w:sz w:val="22"/>
          <w:szCs w:val="22"/>
        </w:rPr>
      </w:pPr>
    </w:p>
    <w:p w14:paraId="523F5E98" w14:textId="76543419" w:rsidR="00DF564C" w:rsidRPr="00D00835" w:rsidRDefault="00DF564C" w:rsidP="00D00835">
      <w:pPr>
        <w:pStyle w:val="ListParagraph"/>
        <w:numPr>
          <w:ilvl w:val="0"/>
          <w:numId w:val="7"/>
        </w:numPr>
        <w:spacing w:after="120" w:line="240" w:lineRule="auto"/>
        <w:rPr>
          <w:sz w:val="22"/>
          <w:szCs w:val="22"/>
        </w:rPr>
      </w:pPr>
      <w:r w:rsidRPr="00D00835">
        <w:rPr>
          <w:sz w:val="22"/>
          <w:szCs w:val="22"/>
        </w:rPr>
        <w:t>Discuss the potential long-term impacts on exporters if budget blowouts and cost recovery issues continue.</w:t>
      </w:r>
    </w:p>
    <w:p w14:paraId="641CDAB0" w14:textId="77777777" w:rsidR="00DF564C" w:rsidRPr="00DF564C" w:rsidRDefault="00DF564C" w:rsidP="00D00835">
      <w:pPr>
        <w:spacing w:after="120" w:line="240" w:lineRule="auto"/>
        <w:ind w:firstLine="360"/>
        <w:rPr>
          <w:sz w:val="22"/>
          <w:szCs w:val="22"/>
        </w:rPr>
      </w:pPr>
      <w:r w:rsidRPr="00DF564C">
        <w:rPr>
          <w:sz w:val="22"/>
          <w:szCs w:val="22"/>
        </w:rPr>
        <w:t>If budget blowouts and irregular cost recovery continue:</w:t>
      </w:r>
    </w:p>
    <w:p w14:paraId="41FE7A3D" w14:textId="77777777" w:rsidR="00DF564C" w:rsidRPr="00DF564C" w:rsidRDefault="00DF564C" w:rsidP="00DF564C">
      <w:pPr>
        <w:numPr>
          <w:ilvl w:val="0"/>
          <w:numId w:val="6"/>
        </w:numPr>
        <w:spacing w:after="120" w:line="240" w:lineRule="auto"/>
        <w:rPr>
          <w:sz w:val="22"/>
          <w:szCs w:val="22"/>
        </w:rPr>
      </w:pPr>
      <w:r w:rsidRPr="00DF564C">
        <w:rPr>
          <w:sz w:val="22"/>
          <w:szCs w:val="22"/>
        </w:rPr>
        <w:t>Reduced profitability: Persistent higher export certification costs could shrink profit margins, especially for lower-value crops or highly competitive markets.</w:t>
      </w:r>
    </w:p>
    <w:p w14:paraId="5AA44A01" w14:textId="64E3C01C" w:rsidR="00DF564C" w:rsidRPr="00DF564C" w:rsidRDefault="00DF564C" w:rsidP="00DF564C">
      <w:pPr>
        <w:numPr>
          <w:ilvl w:val="0"/>
          <w:numId w:val="6"/>
        </w:numPr>
        <w:spacing w:after="120" w:line="240" w:lineRule="auto"/>
        <w:rPr>
          <w:sz w:val="22"/>
          <w:szCs w:val="22"/>
        </w:rPr>
      </w:pPr>
      <w:r w:rsidRPr="00DF564C">
        <w:rPr>
          <w:sz w:val="22"/>
          <w:szCs w:val="22"/>
        </w:rPr>
        <w:t xml:space="preserve">Competitiveness risks: New Zealand exporters already face tight global competition. Higher compliance costs relative to competitors in other countries could make </w:t>
      </w:r>
      <w:r w:rsidR="00246A81">
        <w:rPr>
          <w:sz w:val="22"/>
          <w:szCs w:val="22"/>
        </w:rPr>
        <w:t xml:space="preserve">New Zealand </w:t>
      </w:r>
      <w:r w:rsidRPr="00DF564C">
        <w:rPr>
          <w:sz w:val="22"/>
          <w:szCs w:val="22"/>
        </w:rPr>
        <w:t xml:space="preserve">products less </w:t>
      </w:r>
      <w:r w:rsidR="00246A81" w:rsidRPr="00DF564C">
        <w:rPr>
          <w:sz w:val="22"/>
          <w:szCs w:val="22"/>
        </w:rPr>
        <w:t>price competitive</w:t>
      </w:r>
      <w:r w:rsidRPr="00DF564C">
        <w:rPr>
          <w:sz w:val="22"/>
          <w:szCs w:val="22"/>
        </w:rPr>
        <w:t>.</w:t>
      </w:r>
    </w:p>
    <w:p w14:paraId="6BB7EC04" w14:textId="54E19ADA" w:rsidR="00DF564C" w:rsidRPr="00DF564C" w:rsidRDefault="00DF564C" w:rsidP="00DF564C">
      <w:pPr>
        <w:numPr>
          <w:ilvl w:val="0"/>
          <w:numId w:val="6"/>
        </w:numPr>
        <w:spacing w:after="120" w:line="240" w:lineRule="auto"/>
        <w:rPr>
          <w:sz w:val="22"/>
          <w:szCs w:val="22"/>
        </w:rPr>
      </w:pPr>
      <w:r w:rsidRPr="00DF564C">
        <w:rPr>
          <w:sz w:val="22"/>
          <w:szCs w:val="22"/>
        </w:rPr>
        <w:lastRenderedPageBreak/>
        <w:t xml:space="preserve">Barrier to market access: If MPI’s systems and fees fail to keep pace with global trading partner requirements, market access could be jeopardised. Reliable certification is a prerequisite for many markets. </w:t>
      </w:r>
    </w:p>
    <w:p w14:paraId="09E645A0" w14:textId="56BC8EB4" w:rsidR="00DF564C" w:rsidRPr="00DF564C" w:rsidRDefault="00DF564C" w:rsidP="00DF564C">
      <w:pPr>
        <w:numPr>
          <w:ilvl w:val="0"/>
          <w:numId w:val="6"/>
        </w:numPr>
        <w:spacing w:after="120" w:line="240" w:lineRule="auto"/>
        <w:rPr>
          <w:sz w:val="22"/>
          <w:szCs w:val="22"/>
        </w:rPr>
      </w:pPr>
      <w:r w:rsidRPr="00DF564C">
        <w:rPr>
          <w:sz w:val="22"/>
          <w:szCs w:val="22"/>
        </w:rPr>
        <w:t>Business planning uncertainty: Ongoing fee volatility undermines confidence and makes long-term investment decisions e.g., orchard expansion or crop diversification</w:t>
      </w:r>
      <w:r w:rsidR="00EB599B">
        <w:rPr>
          <w:sz w:val="22"/>
          <w:szCs w:val="22"/>
        </w:rPr>
        <w:t xml:space="preserve"> </w:t>
      </w:r>
      <w:r w:rsidRPr="00DF564C">
        <w:rPr>
          <w:sz w:val="22"/>
          <w:szCs w:val="22"/>
        </w:rPr>
        <w:t>riskier.</w:t>
      </w:r>
    </w:p>
    <w:p w14:paraId="6209BB74" w14:textId="77777777" w:rsidR="00DF564C" w:rsidRPr="00DF564C" w:rsidRDefault="00DF564C" w:rsidP="00DF564C">
      <w:pPr>
        <w:numPr>
          <w:ilvl w:val="0"/>
          <w:numId w:val="6"/>
        </w:numPr>
        <w:spacing w:after="120" w:line="240" w:lineRule="auto"/>
        <w:rPr>
          <w:sz w:val="22"/>
          <w:szCs w:val="22"/>
        </w:rPr>
      </w:pPr>
      <w:r w:rsidRPr="00DF564C">
        <w:rPr>
          <w:sz w:val="22"/>
          <w:szCs w:val="22"/>
        </w:rPr>
        <w:t>Pressure on smaller exporters: Smaller businesses may find consistent compliance costs disproportionate to revenue, possibly discouraging entry into export markets or leading some to exit.</w:t>
      </w:r>
    </w:p>
    <w:p w14:paraId="2A69310D" w14:textId="77777777" w:rsidR="00DF564C" w:rsidRPr="00DF564C" w:rsidRDefault="00DF564C" w:rsidP="00EB599B">
      <w:pPr>
        <w:spacing w:after="120" w:line="240" w:lineRule="auto"/>
        <w:ind w:left="720"/>
        <w:rPr>
          <w:sz w:val="22"/>
          <w:szCs w:val="22"/>
        </w:rPr>
      </w:pPr>
      <w:r w:rsidRPr="00DF564C">
        <w:rPr>
          <w:sz w:val="22"/>
          <w:szCs w:val="22"/>
        </w:rPr>
        <w:t>If not addressed proactively, structural budget and fee-setting issues could erode exporter viability, particularly in sectors like horticulture that rely heavily on phytosanitary certification.</w:t>
      </w:r>
    </w:p>
    <w:p w14:paraId="09E039CE" w14:textId="77777777" w:rsidR="00DF564C" w:rsidRDefault="00DF564C"/>
    <w:p w14:paraId="41BDD0A0" w14:textId="77777777" w:rsidR="00DF564C" w:rsidRDefault="00DF564C"/>
    <w:sectPr w:rsidR="00DF564C" w:rsidSect="00E808F4">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250F9" w14:textId="77777777" w:rsidR="00EB599B" w:rsidRDefault="00EB599B" w:rsidP="00EB599B">
      <w:pPr>
        <w:spacing w:after="0" w:line="240" w:lineRule="auto"/>
      </w:pPr>
      <w:r>
        <w:separator/>
      </w:r>
    </w:p>
  </w:endnote>
  <w:endnote w:type="continuationSeparator" w:id="0">
    <w:p w14:paraId="3BC1DEC6" w14:textId="77777777" w:rsidR="00EB599B" w:rsidRDefault="00EB599B" w:rsidP="00EB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E8C2" w14:textId="0D559C45" w:rsidR="00EB599B" w:rsidRDefault="00EB599B">
    <w:pPr>
      <w:pStyle w:val="Footer"/>
    </w:pPr>
    <w:r>
      <w:rPr>
        <w:noProof/>
      </w:rPr>
      <w:drawing>
        <wp:anchor distT="0" distB="0" distL="114300" distR="114300" simplePos="0" relativeHeight="251661312" behindDoc="0" locked="0" layoutInCell="1" allowOverlap="1" wp14:anchorId="2858B5DF" wp14:editId="7B521C13">
          <wp:simplePos x="0" y="0"/>
          <wp:positionH relativeFrom="column">
            <wp:posOffset>0</wp:posOffset>
          </wp:positionH>
          <wp:positionV relativeFrom="paragraph">
            <wp:posOffset>180975</wp:posOffset>
          </wp:positionV>
          <wp:extent cx="5731510" cy="642620"/>
          <wp:effectExtent l="0" t="0" r="2540" b="5080"/>
          <wp:wrapTopAndBottom/>
          <wp:docPr id="106526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393D" w14:textId="77777777" w:rsidR="00EB599B" w:rsidRDefault="00EB599B" w:rsidP="00EB599B">
      <w:pPr>
        <w:spacing w:after="0" w:line="240" w:lineRule="auto"/>
      </w:pPr>
      <w:r>
        <w:separator/>
      </w:r>
    </w:p>
  </w:footnote>
  <w:footnote w:type="continuationSeparator" w:id="0">
    <w:p w14:paraId="59BF332B" w14:textId="77777777" w:rsidR="00EB599B" w:rsidRDefault="00EB599B" w:rsidP="00EB5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E092" w14:textId="595E5EAF" w:rsidR="00EB599B" w:rsidRDefault="00EB599B">
    <w:pPr>
      <w:pStyle w:val="Header"/>
    </w:pPr>
    <w:r>
      <w:rPr>
        <w:noProof/>
      </w:rPr>
      <w:drawing>
        <wp:anchor distT="0" distB="0" distL="114300" distR="114300" simplePos="0" relativeHeight="251659264" behindDoc="0" locked="0" layoutInCell="1" allowOverlap="1" wp14:anchorId="14634268" wp14:editId="07146041">
          <wp:simplePos x="0" y="0"/>
          <wp:positionH relativeFrom="margin">
            <wp:posOffset>3928593</wp:posOffset>
          </wp:positionH>
          <wp:positionV relativeFrom="paragraph">
            <wp:posOffset>-345440</wp:posOffset>
          </wp:positionV>
          <wp:extent cx="1715135" cy="724535"/>
          <wp:effectExtent l="0" t="0" r="0" b="0"/>
          <wp:wrapSquare wrapText="bothSides"/>
          <wp:docPr id="1512650269" name="Picture 3" descr="A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0661" name="Picture 3" descr="A logo with a rainbow&#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135" cy="724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5D43"/>
    <w:multiLevelType w:val="multilevel"/>
    <w:tmpl w:val="26BE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63EAC"/>
    <w:multiLevelType w:val="multilevel"/>
    <w:tmpl w:val="1898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4B1171"/>
    <w:multiLevelType w:val="multilevel"/>
    <w:tmpl w:val="BB3ED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141C7F"/>
    <w:multiLevelType w:val="multilevel"/>
    <w:tmpl w:val="B59E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C15280"/>
    <w:multiLevelType w:val="multilevel"/>
    <w:tmpl w:val="6D34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7136A1"/>
    <w:multiLevelType w:val="hybridMultilevel"/>
    <w:tmpl w:val="7FBCC2F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76DC3954"/>
    <w:multiLevelType w:val="hybridMultilevel"/>
    <w:tmpl w:val="14542F5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09253893">
    <w:abstractNumId w:val="6"/>
  </w:num>
  <w:num w:numId="2" w16cid:durableId="1417902679">
    <w:abstractNumId w:val="3"/>
  </w:num>
  <w:num w:numId="3" w16cid:durableId="2069377242">
    <w:abstractNumId w:val="1"/>
  </w:num>
  <w:num w:numId="4" w16cid:durableId="390420903">
    <w:abstractNumId w:val="4"/>
  </w:num>
  <w:num w:numId="5" w16cid:durableId="1213271981">
    <w:abstractNumId w:val="2"/>
  </w:num>
  <w:num w:numId="6" w16cid:durableId="345716188">
    <w:abstractNumId w:val="0"/>
  </w:num>
  <w:num w:numId="7" w16cid:durableId="363746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64C"/>
    <w:rsid w:val="00246A81"/>
    <w:rsid w:val="005B6C7A"/>
    <w:rsid w:val="0070000B"/>
    <w:rsid w:val="00C23EE4"/>
    <w:rsid w:val="00D00835"/>
    <w:rsid w:val="00DF564C"/>
    <w:rsid w:val="00E22809"/>
    <w:rsid w:val="00E808F4"/>
    <w:rsid w:val="00EB59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B981"/>
  <w15:chartTrackingRefBased/>
  <w15:docId w15:val="{DFD48F2B-7B5D-4A63-8071-E6D8CFF2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5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56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56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56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5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56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56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56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64C"/>
    <w:rPr>
      <w:rFonts w:eastAsiaTheme="majorEastAsia" w:cstheme="majorBidi"/>
      <w:color w:val="272727" w:themeColor="text1" w:themeTint="D8"/>
    </w:rPr>
  </w:style>
  <w:style w:type="paragraph" w:styleId="Title">
    <w:name w:val="Title"/>
    <w:basedOn w:val="Normal"/>
    <w:next w:val="Normal"/>
    <w:link w:val="TitleChar"/>
    <w:uiPriority w:val="10"/>
    <w:qFormat/>
    <w:rsid w:val="00DF5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64C"/>
    <w:pPr>
      <w:spacing w:before="160"/>
      <w:jc w:val="center"/>
    </w:pPr>
    <w:rPr>
      <w:i/>
      <w:iCs/>
      <w:color w:val="404040" w:themeColor="text1" w:themeTint="BF"/>
    </w:rPr>
  </w:style>
  <w:style w:type="character" w:customStyle="1" w:styleId="QuoteChar">
    <w:name w:val="Quote Char"/>
    <w:basedOn w:val="DefaultParagraphFont"/>
    <w:link w:val="Quote"/>
    <w:uiPriority w:val="29"/>
    <w:rsid w:val="00DF564C"/>
    <w:rPr>
      <w:i/>
      <w:iCs/>
      <w:color w:val="404040" w:themeColor="text1" w:themeTint="BF"/>
    </w:rPr>
  </w:style>
  <w:style w:type="paragraph" w:styleId="ListParagraph">
    <w:name w:val="List Paragraph"/>
    <w:basedOn w:val="Normal"/>
    <w:uiPriority w:val="34"/>
    <w:qFormat/>
    <w:rsid w:val="00DF564C"/>
    <w:pPr>
      <w:ind w:left="720"/>
      <w:contextualSpacing/>
    </w:pPr>
  </w:style>
  <w:style w:type="character" w:styleId="IntenseEmphasis">
    <w:name w:val="Intense Emphasis"/>
    <w:basedOn w:val="DefaultParagraphFont"/>
    <w:uiPriority w:val="21"/>
    <w:qFormat/>
    <w:rsid w:val="00DF564C"/>
    <w:rPr>
      <w:i/>
      <w:iCs/>
      <w:color w:val="0F4761" w:themeColor="accent1" w:themeShade="BF"/>
    </w:rPr>
  </w:style>
  <w:style w:type="paragraph" w:styleId="IntenseQuote">
    <w:name w:val="Intense Quote"/>
    <w:basedOn w:val="Normal"/>
    <w:next w:val="Normal"/>
    <w:link w:val="IntenseQuoteChar"/>
    <w:uiPriority w:val="30"/>
    <w:qFormat/>
    <w:rsid w:val="00DF5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64C"/>
    <w:rPr>
      <w:i/>
      <w:iCs/>
      <w:color w:val="0F4761" w:themeColor="accent1" w:themeShade="BF"/>
    </w:rPr>
  </w:style>
  <w:style w:type="character" w:styleId="IntenseReference">
    <w:name w:val="Intense Reference"/>
    <w:basedOn w:val="DefaultParagraphFont"/>
    <w:uiPriority w:val="32"/>
    <w:qFormat/>
    <w:rsid w:val="00DF564C"/>
    <w:rPr>
      <w:b/>
      <w:bCs/>
      <w:smallCaps/>
      <w:color w:val="0F4761" w:themeColor="accent1" w:themeShade="BF"/>
      <w:spacing w:val="5"/>
    </w:rPr>
  </w:style>
  <w:style w:type="character" w:styleId="Hyperlink">
    <w:name w:val="Hyperlink"/>
    <w:basedOn w:val="DefaultParagraphFont"/>
    <w:uiPriority w:val="99"/>
    <w:unhideWhenUsed/>
    <w:rsid w:val="00DF564C"/>
    <w:rPr>
      <w:color w:val="467886" w:themeColor="hyperlink"/>
      <w:u w:val="single"/>
    </w:rPr>
  </w:style>
  <w:style w:type="character" w:styleId="UnresolvedMention">
    <w:name w:val="Unresolved Mention"/>
    <w:basedOn w:val="DefaultParagraphFont"/>
    <w:uiPriority w:val="99"/>
    <w:semiHidden/>
    <w:unhideWhenUsed/>
    <w:rsid w:val="00DF564C"/>
    <w:rPr>
      <w:color w:val="605E5C"/>
      <w:shd w:val="clear" w:color="auto" w:fill="E1DFDD"/>
    </w:rPr>
  </w:style>
  <w:style w:type="character" w:styleId="FollowedHyperlink">
    <w:name w:val="FollowedHyperlink"/>
    <w:basedOn w:val="DefaultParagraphFont"/>
    <w:uiPriority w:val="99"/>
    <w:semiHidden/>
    <w:unhideWhenUsed/>
    <w:rsid w:val="00D00835"/>
    <w:rPr>
      <w:color w:val="96607D" w:themeColor="followedHyperlink"/>
      <w:u w:val="single"/>
    </w:rPr>
  </w:style>
  <w:style w:type="paragraph" w:styleId="Header">
    <w:name w:val="header"/>
    <w:basedOn w:val="Normal"/>
    <w:link w:val="HeaderChar"/>
    <w:uiPriority w:val="99"/>
    <w:unhideWhenUsed/>
    <w:rsid w:val="00EB59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599B"/>
  </w:style>
  <w:style w:type="paragraph" w:styleId="Footer">
    <w:name w:val="footer"/>
    <w:basedOn w:val="Normal"/>
    <w:link w:val="FooterChar"/>
    <w:uiPriority w:val="99"/>
    <w:unhideWhenUsed/>
    <w:rsid w:val="00EB59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businessmagazine.co.nz/blog/repeat-budget-blowouts-set-to-impact-export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pi.govt.nz/dmsdocument/70627/direct?utm_source=chatgp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1990</Words>
  <Characters>8182</Characters>
  <Application>Microsoft Office Word</Application>
  <DocSecurity>4</DocSecurity>
  <Lines>102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2025-12-17T02:37:00Z</dcterms:created>
  <dcterms:modified xsi:type="dcterms:W3CDTF">2025-12-17T02:37:00Z</dcterms:modified>
</cp:coreProperties>
</file>