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5FD0B" w14:textId="49988E4D" w:rsidR="00977350" w:rsidRPr="00977350" w:rsidRDefault="00977350" w:rsidP="00977350">
      <w:pPr>
        <w:jc w:val="center"/>
        <w:rPr>
          <w:b/>
          <w:bCs/>
          <w:sz w:val="28"/>
          <w:szCs w:val="28"/>
        </w:rPr>
      </w:pPr>
      <w:r w:rsidRPr="00977350">
        <w:rPr>
          <w:b/>
          <w:bCs/>
          <w:sz w:val="28"/>
          <w:szCs w:val="28"/>
        </w:rPr>
        <w:t>Te Hou Farms</w:t>
      </w:r>
      <w:r w:rsidRPr="00977350">
        <w:rPr>
          <w:b/>
          <w:bCs/>
          <w:sz w:val="28"/>
          <w:szCs w:val="28"/>
        </w:rPr>
        <w:t xml:space="preserve"> - </w:t>
      </w:r>
      <w:r w:rsidRPr="00977350">
        <w:rPr>
          <w:b/>
          <w:bCs/>
          <w:sz w:val="28"/>
          <w:szCs w:val="28"/>
        </w:rPr>
        <w:t>An award-winning operation showcases modern Māori agribusiness</w:t>
      </w:r>
      <w:r w:rsidRPr="00977350">
        <w:rPr>
          <w:b/>
          <w:bCs/>
          <w:sz w:val="28"/>
          <w:szCs w:val="28"/>
        </w:rPr>
        <w:t>.</w:t>
      </w:r>
    </w:p>
    <w:p w14:paraId="71A1E40E" w14:textId="77777777" w:rsidR="00C57C5E" w:rsidRDefault="00C57C5E" w:rsidP="00977350"/>
    <w:p w14:paraId="19992FEC" w14:textId="446F01B9" w:rsidR="00977350" w:rsidRPr="00C57C5E" w:rsidRDefault="00977350" w:rsidP="00977350">
      <w:pPr>
        <w:rPr>
          <w:b/>
          <w:bCs/>
          <w:sz w:val="22"/>
          <w:szCs w:val="22"/>
        </w:rPr>
      </w:pPr>
      <w:r w:rsidRPr="00C57C5E">
        <w:rPr>
          <w:sz w:val="22"/>
          <w:szCs w:val="22"/>
        </w:rPr>
        <w:t>Read</w:t>
      </w:r>
      <w:r w:rsidRPr="00C57C5E">
        <w:rPr>
          <w:sz w:val="22"/>
          <w:szCs w:val="22"/>
        </w:rPr>
        <w:t xml:space="preserve"> </w:t>
      </w:r>
      <w:r w:rsidRPr="00C57C5E">
        <w:rPr>
          <w:sz w:val="22"/>
          <w:szCs w:val="22"/>
        </w:rPr>
        <w:t>below</w:t>
      </w:r>
      <w:r w:rsidRPr="00C57C5E">
        <w:rPr>
          <w:sz w:val="22"/>
          <w:szCs w:val="22"/>
        </w:rPr>
        <w:t xml:space="preserve"> and / or watch </w:t>
      </w:r>
      <w:r w:rsidRPr="00C57C5E">
        <w:rPr>
          <w:b/>
          <w:bCs/>
          <w:i/>
          <w:iCs/>
          <w:sz w:val="22"/>
          <w:szCs w:val="22"/>
        </w:rPr>
        <w:t>“</w:t>
      </w:r>
      <w:r w:rsidRPr="00C57C5E">
        <w:rPr>
          <w:b/>
          <w:bCs/>
          <w:sz w:val="22"/>
          <w:szCs w:val="22"/>
        </w:rPr>
        <w:t>Te Hou Farms - An award-winning operation showcases modern Māori agribusiness</w:t>
      </w:r>
      <w:r w:rsidRPr="00C57C5E">
        <w:rPr>
          <w:b/>
          <w:bCs/>
          <w:i/>
          <w:iCs/>
          <w:sz w:val="22"/>
          <w:szCs w:val="22"/>
        </w:rPr>
        <w:t>”</w:t>
      </w:r>
      <w:r w:rsidRPr="00C57C5E">
        <w:rPr>
          <w:sz w:val="22"/>
          <w:szCs w:val="22"/>
        </w:rPr>
        <w:t>, and the answer the following questions.</w:t>
      </w:r>
    </w:p>
    <w:p w14:paraId="122AD5C2" w14:textId="22993DA4" w:rsidR="002D76AE" w:rsidRPr="00C57C5E" w:rsidRDefault="00977350">
      <w:pPr>
        <w:rPr>
          <w:sz w:val="22"/>
          <w:szCs w:val="22"/>
        </w:rPr>
      </w:pPr>
      <w:hyperlink r:id="rId7" w:history="1">
        <w:r w:rsidRPr="00C57C5E">
          <w:rPr>
            <w:rStyle w:val="Hyperlink"/>
            <w:sz w:val="22"/>
            <w:szCs w:val="22"/>
          </w:rPr>
          <w:t>https://www.ruraldelivery.net.nz/posts/Te-Hou-Farms</w:t>
        </w:r>
      </w:hyperlink>
    </w:p>
    <w:p w14:paraId="2DA7A964" w14:textId="77777777" w:rsidR="00977350" w:rsidRPr="00C57C5E" w:rsidRDefault="00977350">
      <w:pPr>
        <w:rPr>
          <w:sz w:val="22"/>
          <w:szCs w:val="22"/>
        </w:rPr>
      </w:pPr>
    </w:p>
    <w:p w14:paraId="16A867CD" w14:textId="77777777" w:rsidR="00057115" w:rsidRPr="00C57C5E" w:rsidRDefault="00057115" w:rsidP="00057115">
      <w:pPr>
        <w:tabs>
          <w:tab w:val="left" w:pos="2010"/>
        </w:tabs>
        <w:rPr>
          <w:b/>
          <w:bCs/>
          <w:sz w:val="22"/>
          <w:szCs w:val="22"/>
        </w:rPr>
      </w:pPr>
      <w:r w:rsidRPr="00C57C5E">
        <w:rPr>
          <w:b/>
          <w:bCs/>
          <w:sz w:val="22"/>
          <w:szCs w:val="22"/>
        </w:rPr>
        <w:t>Teacher / Student Quick-Reference Vocabulary Sheet</w:t>
      </w:r>
    </w:p>
    <w:p w14:paraId="55A2E555" w14:textId="77777777" w:rsidR="00057115" w:rsidRPr="00C57C5E" w:rsidRDefault="00057115" w:rsidP="00C57C5E">
      <w:pPr>
        <w:numPr>
          <w:ilvl w:val="0"/>
          <w:numId w:val="4"/>
        </w:numPr>
        <w:tabs>
          <w:tab w:val="num" w:pos="720"/>
          <w:tab w:val="left" w:pos="2010"/>
        </w:tabs>
        <w:spacing w:line="276" w:lineRule="auto"/>
        <w:rPr>
          <w:sz w:val="22"/>
          <w:szCs w:val="22"/>
        </w:rPr>
      </w:pPr>
      <w:r w:rsidRPr="00C57C5E">
        <w:rPr>
          <w:b/>
          <w:bCs/>
          <w:sz w:val="22"/>
          <w:szCs w:val="22"/>
        </w:rPr>
        <w:t>Kaitiakitanga:</w:t>
      </w:r>
      <w:r w:rsidRPr="00C57C5E">
        <w:rPr>
          <w:sz w:val="22"/>
          <w:szCs w:val="22"/>
        </w:rPr>
        <w:t xml:space="preserve"> Guardianship and stewardship of the environment and land.</w:t>
      </w:r>
    </w:p>
    <w:p w14:paraId="6544E11E" w14:textId="77777777" w:rsidR="00057115" w:rsidRPr="00C57C5E" w:rsidRDefault="00057115" w:rsidP="00C57C5E">
      <w:pPr>
        <w:numPr>
          <w:ilvl w:val="0"/>
          <w:numId w:val="4"/>
        </w:numPr>
        <w:tabs>
          <w:tab w:val="num" w:pos="720"/>
          <w:tab w:val="left" w:pos="2010"/>
        </w:tabs>
        <w:spacing w:line="276" w:lineRule="auto"/>
        <w:rPr>
          <w:sz w:val="22"/>
          <w:szCs w:val="22"/>
        </w:rPr>
      </w:pPr>
      <w:r w:rsidRPr="00C57C5E">
        <w:rPr>
          <w:b/>
          <w:bCs/>
          <w:sz w:val="22"/>
          <w:szCs w:val="22"/>
        </w:rPr>
        <w:t>Governance vs. Management:</w:t>
      </w:r>
      <w:r w:rsidRPr="00C57C5E">
        <w:rPr>
          <w:sz w:val="22"/>
          <w:szCs w:val="22"/>
        </w:rPr>
        <w:t xml:space="preserve"> Governance (Board) determines </w:t>
      </w:r>
      <w:r w:rsidRPr="00C57C5E">
        <w:rPr>
          <w:i/>
          <w:iCs/>
          <w:sz w:val="22"/>
          <w:szCs w:val="22"/>
        </w:rPr>
        <w:t>where</w:t>
      </w:r>
      <w:r w:rsidRPr="00C57C5E">
        <w:rPr>
          <w:sz w:val="22"/>
          <w:szCs w:val="22"/>
        </w:rPr>
        <w:t xml:space="preserve"> the business is going; Management (Farm Managers) decides </w:t>
      </w:r>
      <w:r w:rsidRPr="00C57C5E">
        <w:rPr>
          <w:i/>
          <w:iCs/>
          <w:sz w:val="22"/>
          <w:szCs w:val="22"/>
        </w:rPr>
        <w:t>how</w:t>
      </w:r>
      <w:r w:rsidRPr="00C57C5E">
        <w:rPr>
          <w:sz w:val="22"/>
          <w:szCs w:val="22"/>
        </w:rPr>
        <w:t xml:space="preserve"> to get there daily.</w:t>
      </w:r>
    </w:p>
    <w:p w14:paraId="1E7D23AD" w14:textId="77777777" w:rsidR="00057115" w:rsidRPr="00C57C5E" w:rsidRDefault="00057115" w:rsidP="00C57C5E">
      <w:pPr>
        <w:numPr>
          <w:ilvl w:val="0"/>
          <w:numId w:val="4"/>
        </w:numPr>
        <w:tabs>
          <w:tab w:val="num" w:pos="720"/>
          <w:tab w:val="left" w:pos="2010"/>
        </w:tabs>
        <w:spacing w:line="276" w:lineRule="auto"/>
        <w:rPr>
          <w:sz w:val="22"/>
          <w:szCs w:val="22"/>
        </w:rPr>
      </w:pPr>
      <w:r w:rsidRPr="00C57C5E">
        <w:rPr>
          <w:b/>
          <w:bCs/>
          <w:sz w:val="22"/>
          <w:szCs w:val="22"/>
        </w:rPr>
        <w:t>Capital Needs:</w:t>
      </w:r>
      <w:r w:rsidRPr="00C57C5E">
        <w:rPr>
          <w:sz w:val="22"/>
          <w:szCs w:val="22"/>
        </w:rPr>
        <w:t xml:space="preserve"> The financial resources required to buy assets, upgrade technology, or expand operations.</w:t>
      </w:r>
    </w:p>
    <w:p w14:paraId="41CE6D47" w14:textId="77777777" w:rsidR="00057115" w:rsidRPr="00C57C5E" w:rsidRDefault="00057115" w:rsidP="00C57C5E">
      <w:pPr>
        <w:numPr>
          <w:ilvl w:val="0"/>
          <w:numId w:val="4"/>
        </w:numPr>
        <w:tabs>
          <w:tab w:val="num" w:pos="720"/>
          <w:tab w:val="left" w:pos="2010"/>
        </w:tabs>
        <w:spacing w:line="276" w:lineRule="auto"/>
        <w:rPr>
          <w:sz w:val="22"/>
          <w:szCs w:val="22"/>
        </w:rPr>
      </w:pPr>
      <w:r w:rsidRPr="00C57C5E">
        <w:rPr>
          <w:b/>
          <w:bCs/>
          <w:sz w:val="22"/>
          <w:szCs w:val="22"/>
        </w:rPr>
        <w:t>Joint Venture:</w:t>
      </w:r>
      <w:r w:rsidRPr="00C57C5E">
        <w:rPr>
          <w:sz w:val="22"/>
          <w:szCs w:val="22"/>
        </w:rPr>
        <w:t xml:space="preserve"> A commercial alliance between two or more parties to pool resources and share risks/rewards.</w:t>
      </w:r>
    </w:p>
    <w:p w14:paraId="274316EF" w14:textId="77777777" w:rsidR="00057115" w:rsidRPr="00C57C5E" w:rsidRDefault="00057115" w:rsidP="00C57C5E">
      <w:pPr>
        <w:numPr>
          <w:ilvl w:val="0"/>
          <w:numId w:val="4"/>
        </w:numPr>
        <w:tabs>
          <w:tab w:val="num" w:pos="720"/>
          <w:tab w:val="left" w:pos="2010"/>
        </w:tabs>
        <w:spacing w:line="276" w:lineRule="auto"/>
        <w:rPr>
          <w:sz w:val="22"/>
          <w:szCs w:val="22"/>
        </w:rPr>
      </w:pPr>
      <w:r w:rsidRPr="00C57C5E">
        <w:rPr>
          <w:b/>
          <w:bCs/>
          <w:sz w:val="22"/>
          <w:szCs w:val="22"/>
        </w:rPr>
        <w:t>Benchmarking:</w:t>
      </w:r>
      <w:r w:rsidRPr="00C57C5E">
        <w:rPr>
          <w:sz w:val="22"/>
          <w:szCs w:val="22"/>
        </w:rPr>
        <w:t xml:space="preserve"> Comparing business performance metrics (e.g., BakerAg monitoring) against industry peers to maintain competitiveness.</w:t>
      </w:r>
    </w:p>
    <w:p w14:paraId="03793244" w14:textId="77777777" w:rsidR="00057115" w:rsidRPr="00C57C5E" w:rsidRDefault="00057115" w:rsidP="00057115">
      <w:pPr>
        <w:tabs>
          <w:tab w:val="left" w:pos="2010"/>
        </w:tabs>
        <w:rPr>
          <w:sz w:val="22"/>
          <w:szCs w:val="22"/>
        </w:rPr>
      </w:pPr>
    </w:p>
    <w:p w14:paraId="71194FB5" w14:textId="7313CEFB" w:rsidR="00057115" w:rsidRPr="00C57C5E" w:rsidRDefault="00057115" w:rsidP="00057115">
      <w:pPr>
        <w:tabs>
          <w:tab w:val="left" w:pos="2010"/>
        </w:tabs>
        <w:rPr>
          <w:sz w:val="22"/>
          <w:szCs w:val="22"/>
        </w:rPr>
      </w:pPr>
      <w:r w:rsidRPr="00C57C5E">
        <w:rPr>
          <w:b/>
          <w:bCs/>
          <w:sz w:val="22"/>
          <w:szCs w:val="22"/>
        </w:rPr>
        <w:t>Questions</w:t>
      </w:r>
    </w:p>
    <w:p w14:paraId="12D129F5" w14:textId="3326B26B" w:rsidR="00977350" w:rsidRPr="00C57C5E" w:rsidRDefault="00057115" w:rsidP="00057115">
      <w:pPr>
        <w:pStyle w:val="ListParagraph"/>
        <w:numPr>
          <w:ilvl w:val="0"/>
          <w:numId w:val="1"/>
        </w:numPr>
        <w:rPr>
          <w:sz w:val="22"/>
          <w:szCs w:val="22"/>
        </w:rPr>
      </w:pPr>
      <w:r w:rsidRPr="00C57C5E">
        <w:rPr>
          <w:sz w:val="22"/>
          <w:szCs w:val="22"/>
        </w:rPr>
        <w:t>Identify the ownership structure of Te Hou Farms and explain how this structure governs and operates the farm enterprise.</w:t>
      </w:r>
    </w:p>
    <w:p w14:paraId="065D02EA" w14:textId="77777777" w:rsidR="00057115" w:rsidRPr="00C57C5E" w:rsidRDefault="00057115" w:rsidP="00057115">
      <w:pPr>
        <w:pStyle w:val="ListParagraph"/>
        <w:ind w:left="360"/>
        <w:rPr>
          <w:sz w:val="22"/>
          <w:szCs w:val="22"/>
        </w:rPr>
      </w:pPr>
    </w:p>
    <w:p w14:paraId="0430551D" w14:textId="4F1106E1" w:rsidR="00057115" w:rsidRPr="00C57C5E" w:rsidRDefault="00057115" w:rsidP="00057115">
      <w:pPr>
        <w:pStyle w:val="ListParagraph"/>
        <w:numPr>
          <w:ilvl w:val="0"/>
          <w:numId w:val="1"/>
        </w:numPr>
        <w:rPr>
          <w:sz w:val="22"/>
          <w:szCs w:val="22"/>
        </w:rPr>
      </w:pPr>
      <w:r w:rsidRPr="00C57C5E">
        <w:rPr>
          <w:sz w:val="22"/>
          <w:szCs w:val="22"/>
        </w:rPr>
        <w:t>Outline TWO strategic needs of Te Hou Farms as a primary industry business. For each strategic need, explain how their current business structure helps them achieve it.</w:t>
      </w:r>
    </w:p>
    <w:p w14:paraId="68122F30" w14:textId="77777777" w:rsidR="00057115" w:rsidRPr="00C57C5E" w:rsidRDefault="00057115" w:rsidP="00057115">
      <w:pPr>
        <w:pStyle w:val="ListParagraph"/>
        <w:rPr>
          <w:sz w:val="22"/>
          <w:szCs w:val="22"/>
        </w:rPr>
      </w:pPr>
    </w:p>
    <w:p w14:paraId="1360565E" w14:textId="77777777" w:rsidR="00057115" w:rsidRPr="00C57C5E" w:rsidRDefault="00057115" w:rsidP="00057115">
      <w:pPr>
        <w:pStyle w:val="ListParagraph"/>
        <w:numPr>
          <w:ilvl w:val="0"/>
          <w:numId w:val="1"/>
        </w:numPr>
        <w:rPr>
          <w:sz w:val="22"/>
          <w:szCs w:val="22"/>
        </w:rPr>
      </w:pPr>
      <w:r w:rsidRPr="00C57C5E">
        <w:rPr>
          <w:sz w:val="22"/>
          <w:szCs w:val="22"/>
        </w:rPr>
        <w:t>Compare Te Hou Farms’ current Māori Agribusiness Joint Venture structure with an alternative structure, such as a traditional Sole Trader / Private Partnership family farm. Thoroughly explain the key differences in:</w:t>
      </w:r>
    </w:p>
    <w:p w14:paraId="71DE1E53" w14:textId="77777777" w:rsidR="00057115" w:rsidRPr="00C57C5E" w:rsidRDefault="00057115" w:rsidP="00057115">
      <w:pPr>
        <w:pStyle w:val="ListParagraph"/>
        <w:numPr>
          <w:ilvl w:val="0"/>
          <w:numId w:val="3"/>
        </w:numPr>
        <w:rPr>
          <w:sz w:val="22"/>
          <w:szCs w:val="22"/>
        </w:rPr>
      </w:pPr>
      <w:r w:rsidRPr="00C57C5E">
        <w:rPr>
          <w:sz w:val="22"/>
          <w:szCs w:val="22"/>
        </w:rPr>
        <w:t>Decision-making process</w:t>
      </w:r>
    </w:p>
    <w:p w14:paraId="713E4F9C" w14:textId="77777777" w:rsidR="00057115" w:rsidRPr="00C57C5E" w:rsidRDefault="00057115" w:rsidP="00057115">
      <w:pPr>
        <w:pStyle w:val="ListParagraph"/>
        <w:numPr>
          <w:ilvl w:val="0"/>
          <w:numId w:val="3"/>
        </w:numPr>
        <w:rPr>
          <w:sz w:val="22"/>
          <w:szCs w:val="22"/>
        </w:rPr>
      </w:pPr>
      <w:r w:rsidRPr="00C57C5E">
        <w:rPr>
          <w:sz w:val="22"/>
          <w:szCs w:val="22"/>
        </w:rPr>
        <w:t>Access to capital and risk exposure</w:t>
      </w:r>
    </w:p>
    <w:p w14:paraId="7E80FE71" w14:textId="77777777" w:rsidR="00057115" w:rsidRPr="00C57C5E" w:rsidRDefault="00057115" w:rsidP="00057115">
      <w:pPr>
        <w:pStyle w:val="ListParagraph"/>
        <w:numPr>
          <w:ilvl w:val="0"/>
          <w:numId w:val="3"/>
        </w:numPr>
        <w:rPr>
          <w:sz w:val="22"/>
          <w:szCs w:val="22"/>
        </w:rPr>
      </w:pPr>
      <w:r w:rsidRPr="00C57C5E">
        <w:rPr>
          <w:sz w:val="22"/>
          <w:szCs w:val="22"/>
        </w:rPr>
        <w:t>Ability to meet strategic growth goals</w:t>
      </w:r>
    </w:p>
    <w:p w14:paraId="1BFBDDAD" w14:textId="77777777" w:rsidR="00057115" w:rsidRPr="00C57C5E" w:rsidRDefault="00057115" w:rsidP="00057115">
      <w:pPr>
        <w:pStyle w:val="ListParagraph"/>
        <w:rPr>
          <w:sz w:val="22"/>
          <w:szCs w:val="22"/>
        </w:rPr>
      </w:pPr>
    </w:p>
    <w:p w14:paraId="3B347FA8" w14:textId="5FE36A90" w:rsidR="00057115" w:rsidRPr="00C57C5E" w:rsidRDefault="00057115" w:rsidP="00057115">
      <w:pPr>
        <w:pStyle w:val="ListParagraph"/>
        <w:numPr>
          <w:ilvl w:val="0"/>
          <w:numId w:val="1"/>
        </w:numPr>
        <w:rPr>
          <w:sz w:val="22"/>
          <w:szCs w:val="22"/>
        </w:rPr>
      </w:pPr>
      <w:r w:rsidRPr="00C57C5E">
        <w:rPr>
          <w:sz w:val="22"/>
          <w:szCs w:val="22"/>
        </w:rPr>
        <w:t>Evaluate the long-term and short-term implications of Te Hou Farms' business structure on its overall success and viability. Conclude with a justified judgment on whether this structure is the best fit for their strategic direction.</w:t>
      </w:r>
    </w:p>
    <w:p w14:paraId="4577E549" w14:textId="77777777" w:rsidR="00057115" w:rsidRDefault="00057115">
      <w:r>
        <w:br w:type="page"/>
      </w:r>
    </w:p>
    <w:p w14:paraId="23A3FF68" w14:textId="77777777" w:rsidR="00057115" w:rsidRPr="00977350" w:rsidRDefault="00057115" w:rsidP="00057115">
      <w:pPr>
        <w:jc w:val="center"/>
        <w:rPr>
          <w:b/>
          <w:bCs/>
          <w:sz w:val="28"/>
          <w:szCs w:val="28"/>
        </w:rPr>
      </w:pPr>
      <w:r w:rsidRPr="00977350">
        <w:rPr>
          <w:b/>
          <w:bCs/>
          <w:sz w:val="28"/>
          <w:szCs w:val="28"/>
        </w:rPr>
        <w:lastRenderedPageBreak/>
        <w:t>Te Hou Farms - An award-winning operation showcases modern Māori agribusiness.</w:t>
      </w:r>
    </w:p>
    <w:p w14:paraId="7AA62A33" w14:textId="21F53011" w:rsidR="00057115" w:rsidRDefault="007D334A" w:rsidP="00977350">
      <w:r>
        <w:rPr>
          <w:noProof/>
        </w:rPr>
        <w:drawing>
          <wp:inline distT="0" distB="0" distL="0" distR="0" wp14:anchorId="6280F664" wp14:editId="042859D9">
            <wp:extent cx="5731510" cy="3223895"/>
            <wp:effectExtent l="0" t="0" r="2540" b="0"/>
            <wp:docPr id="466784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1728BC97" w14:textId="658A031C" w:rsidR="00977350" w:rsidRPr="00977350" w:rsidRDefault="00977350" w:rsidP="00977350">
      <w:r w:rsidRPr="00977350">
        <w:t>Jarred and Bronwyn Clode and Te Hou Farms are showing that it is possible to achieve both high production and strong environmental outcomes in an operation that is committed to a long-term investment in land and people.</w:t>
      </w:r>
    </w:p>
    <w:p w14:paraId="3EC0C56D" w14:textId="53ADEF58" w:rsidR="00977350" w:rsidRPr="00977350" w:rsidRDefault="00977350" w:rsidP="00977350">
      <w:r w:rsidRPr="00977350">
        <w:t> Set on 1,324 hectares just west of Bulls, Te Hou Farms has become a standout example of modern Māori agribusiness—where commercial success, environmental care, and people-focused leadership come together. In 2026, that approach was recognised when managers Jarred and Bronwyn Clode were named supreme winners at the Horizons Ballance Farm Environment Awards 2026.</w:t>
      </w:r>
    </w:p>
    <w:p w14:paraId="5A8065BD" w14:textId="77777777" w:rsidR="00977350" w:rsidRPr="00977350" w:rsidRDefault="00977350" w:rsidP="00977350">
      <w:r w:rsidRPr="00977350">
        <w:t>The farm is two-thirds owned by Ngā Wairiki Ngāti Apa Developments Limited and one-third by Ātihau Whanganui Incorporation. A board provides governance with strong iwi representation, while day-to-day operations are entrusted to the Clodes, who stepped into management roles in 2020 after Jarred had managed the dairy unit for several years.</w:t>
      </w:r>
    </w:p>
    <w:p w14:paraId="4C86EBF2" w14:textId="77777777" w:rsidR="00977350" w:rsidRPr="00977350" w:rsidRDefault="00977350" w:rsidP="00977350">
      <w:r w:rsidRPr="00977350">
        <w:t>Jarred describes the responsibility as, “being handed the keys to a Ferrari - it’s our responsibility to meet both the scale of the opportunity and the expectation to perform.” Under their leadership, Te Hou Farms has grown into a highly integrated and efficient system. At its core is a 530-hectare dairy platform, milking up to 1,650 cows at peak, supported by a drystock block. Together, these two components function as a cohesive unit. The farm raises around 1,200 beef calves each year and they were growing 120 hectares of maize silage.</w:t>
      </w:r>
    </w:p>
    <w:p w14:paraId="4B135CED" w14:textId="26DC4A35" w:rsidR="00977350" w:rsidRPr="00977350" w:rsidRDefault="00977350" w:rsidP="00977350">
      <w:r w:rsidRPr="00977350">
        <w:lastRenderedPageBreak/>
        <w:t>Judges at the Ballance Farm Environment Awards highlighted the Clodes’ ability to manage complexity at scale. Their leadership style emphasises collaboration, with strong working relationships across the business and clear involvement at every level of decision-making. Just as importantly, their approach is grounded in data and research. From pasture management to irrigation and feed planning, decisions are guided by detailed analysis, expert advice, and the smart use of technology.</w:t>
      </w:r>
    </w:p>
    <w:p w14:paraId="0A0ED51B" w14:textId="618C5815" w:rsidR="00977350" w:rsidRPr="00977350" w:rsidRDefault="00977350" w:rsidP="00977350">
      <w:r w:rsidRPr="00977350">
        <w:t>That analytical mindset extends to how the land itself is managed. Te Hou Farms takes a deliberate and strategic approach to soil health and productivity. Techniques such as minimum tillage and strip tilling are used to maintain soil structure, while fertiliser is applied with precision to match land capability and soil type. The goal is to maximise output without compromising the long-term health of the land.</w:t>
      </w:r>
    </w:p>
    <w:p w14:paraId="7612206E" w14:textId="77777777" w:rsidR="00977350" w:rsidRPr="00977350" w:rsidRDefault="00977350" w:rsidP="00977350">
      <w:r w:rsidRPr="00977350">
        <w:t> </w:t>
      </w:r>
    </w:p>
    <w:p w14:paraId="307321EF" w14:textId="77777777" w:rsidR="00977350" w:rsidRPr="00977350" w:rsidRDefault="00977350" w:rsidP="00977350">
      <w:r w:rsidRPr="00977350">
        <w:t>Environmental stewardship is not treated as an add-on, but as a core pillar of the business. Across the property, 27 hectares of riparian margins and wetlands have been retired and planted with native vegetation. These areas play a critical role in filtering sediment and nutrients before they reach waterways, while also enhancing biodiversity. Alongside native tree planting, these areas also offset carbon emissions. Effluent is managed carefully and used strategically to support soil health. 70% of the farm is on centre pivot, and they continue to invest in research and improvements to minimise its environmental footprint.</w:t>
      </w:r>
    </w:p>
    <w:p w14:paraId="5C84856E" w14:textId="2CF9FC5E" w:rsidR="00977350" w:rsidRPr="00977350" w:rsidRDefault="00977350" w:rsidP="00977350">
      <w:r w:rsidRPr="00977350">
        <w:t>Research and data on the farm soils are driving a significant shift in land use. With approval from the board, they’re moving away from intensive cropping, which has proven challenging on local soils, and focusing more on dairy. This includes increasing the dairy platform from 530 hectares to around 760 hectares and installing a second 80-bale rotary milking shed.</w:t>
      </w:r>
    </w:p>
    <w:p w14:paraId="55E9FFAF" w14:textId="2488059E" w:rsidR="00977350" w:rsidRPr="00977350" w:rsidRDefault="00977350" w:rsidP="00977350">
      <w:r w:rsidRPr="00977350">
        <w:t>Jarred speaks to the importance of solid infrastructure – to not only grow the operation but to ensure the health, safety and well-being of everyone working the farm.  For example, the state-of-the-art milking shed and recently introduced Halter technology mean that they can efficiently get the cows through the shed, check in on data from home and reduce early starts. He says, “When you’re working at this scale, the stakes are high. We have to keep people fresh.” This prioritisation of people is echoed by Board Chair Pahia Turia, “If you don’t have the right support, you don’t have the right management”.</w:t>
      </w:r>
    </w:p>
    <w:p w14:paraId="3BC975EE" w14:textId="346CC12D" w:rsidR="00977350" w:rsidRPr="00977350" w:rsidRDefault="00977350" w:rsidP="00977350">
      <w:r w:rsidRPr="00977350">
        <w:t>Te Hou Farms has built a culture that values work-life balance, prioritises health and safety, and encourages personal development. The result is a workplace where people feel supported and engaged—something the Awards judges noted as a key strength of the operation.</w:t>
      </w:r>
    </w:p>
    <w:p w14:paraId="277685CB" w14:textId="4A893C4B" w:rsidR="00977350" w:rsidRPr="00977350" w:rsidRDefault="00977350" w:rsidP="00977350">
      <w:r w:rsidRPr="00977350">
        <w:lastRenderedPageBreak/>
        <w:t>The dairy expansion will result in 2 separate dairy units—one milking 1,500 cows and the other 1,000—lifting the total herd to around 2,500 cows. Production is expected to rise sharply as a result. From a current output of around 960,000 kilograms of milk solids, the farm is forecasting growth to 1.1 million kilograms in the 2026–27 season, and up to 1.425 million kilograms by 2027–28. That represents an increase of roughly 60 per cent in just a few years.</w:t>
      </w:r>
    </w:p>
    <w:p w14:paraId="08F77B8A" w14:textId="77777777" w:rsidR="00977350" w:rsidRPr="00977350" w:rsidRDefault="00977350" w:rsidP="00977350">
      <w:r w:rsidRPr="00977350">
        <w:t>Te Hou Farms uses the BakerAg Dairy System Monitoring programme to benchmark its performance against comparable farms. In recent years, it has ranked among the top-performing operations in that group—further evidence of the effectiveness of its systems and leadership. Jarred says the system, “quantifies the decisions we’re making and keeps us honest and accountable to our board.”</w:t>
      </w:r>
    </w:p>
    <w:p w14:paraId="194B18DA" w14:textId="77777777" w:rsidR="00977350" w:rsidRPr="00977350" w:rsidRDefault="00977350" w:rsidP="00977350">
      <w:r w:rsidRPr="00977350">
        <w:t> </w:t>
      </w:r>
    </w:p>
    <w:p w14:paraId="6FAD4354" w14:textId="21B6AF9F" w:rsidR="00977350" w:rsidRPr="00977350" w:rsidRDefault="00977350" w:rsidP="00977350">
      <w:r w:rsidRPr="00977350">
        <w:t>Despite the scale and pace of development, the farm remains grounded in a long-term vision. There is ongoing consideration of how best to use surplus land, including options such as forestry and even solar energy, ensuring the property continues to evolve in a way that aligns with both economic and environmental goals.</w:t>
      </w:r>
    </w:p>
    <w:p w14:paraId="64FCE506" w14:textId="77777777" w:rsidR="00977350" w:rsidRPr="00977350" w:rsidRDefault="00977350" w:rsidP="00977350">
      <w:r w:rsidRPr="00977350">
        <w:t>For Jarred and Bronwyn Clode, the recognition at the Ballance Farm Environment Awards is less about a single achievement and more about the journey. Years of development, careful planning, and shared ambition have shaped Te Hou Farms into what it is today. More importantly, they have laid a foundation for what it can become.</w:t>
      </w:r>
    </w:p>
    <w:p w14:paraId="52A5566B" w14:textId="54DD6E00" w:rsidR="00C57C5E" w:rsidRDefault="00C57C5E">
      <w:r>
        <w:br w:type="page"/>
      </w:r>
    </w:p>
    <w:p w14:paraId="094F6C8B" w14:textId="02C6E580" w:rsidR="00C57C5E" w:rsidRPr="00C57C5E" w:rsidRDefault="00C57C5E" w:rsidP="00C57C5E">
      <w:pPr>
        <w:tabs>
          <w:tab w:val="left" w:pos="2010"/>
        </w:tabs>
        <w:rPr>
          <w:sz w:val="22"/>
          <w:szCs w:val="22"/>
        </w:rPr>
      </w:pPr>
      <w:r>
        <w:rPr>
          <w:b/>
          <w:bCs/>
          <w:sz w:val="22"/>
          <w:szCs w:val="22"/>
        </w:rPr>
        <w:lastRenderedPageBreak/>
        <w:t>Answers</w:t>
      </w:r>
    </w:p>
    <w:p w14:paraId="4703C0E6" w14:textId="77777777" w:rsidR="00C57C5E" w:rsidRDefault="00C57C5E" w:rsidP="00C57C5E">
      <w:pPr>
        <w:pStyle w:val="ListParagraph"/>
        <w:numPr>
          <w:ilvl w:val="0"/>
          <w:numId w:val="5"/>
        </w:numPr>
        <w:rPr>
          <w:sz w:val="22"/>
          <w:szCs w:val="22"/>
        </w:rPr>
      </w:pPr>
      <w:r w:rsidRPr="00C57C5E">
        <w:rPr>
          <w:sz w:val="22"/>
          <w:szCs w:val="22"/>
        </w:rPr>
        <w:t>Identify the ownership structure of Te Hou Farms and explain how this structure governs and operates the farm enterprise.</w:t>
      </w:r>
    </w:p>
    <w:p w14:paraId="01D1736D" w14:textId="71124939" w:rsidR="00C57C5E" w:rsidRPr="00C57C5E" w:rsidRDefault="00C57C5E" w:rsidP="00C57C5E">
      <w:pPr>
        <w:pStyle w:val="ListParagraph"/>
        <w:ind w:left="360"/>
        <w:rPr>
          <w:i/>
          <w:iCs/>
          <w:sz w:val="22"/>
          <w:szCs w:val="22"/>
        </w:rPr>
      </w:pPr>
      <w:r w:rsidRPr="00C57C5E">
        <w:rPr>
          <w:i/>
          <w:iCs/>
          <w:sz w:val="22"/>
          <w:szCs w:val="22"/>
        </w:rPr>
        <w:t>Te Hou Farms operates as a joint venture / Māori Agribusiness entity, co-owned by two iwi entities:</w:t>
      </w:r>
    </w:p>
    <w:p w14:paraId="5B45D039" w14:textId="77777777" w:rsidR="00C57C5E" w:rsidRPr="00C57C5E" w:rsidRDefault="00C57C5E" w:rsidP="00C57C5E">
      <w:pPr>
        <w:pStyle w:val="ListParagraph"/>
        <w:numPr>
          <w:ilvl w:val="0"/>
          <w:numId w:val="6"/>
        </w:numPr>
        <w:rPr>
          <w:i/>
          <w:iCs/>
          <w:sz w:val="22"/>
          <w:szCs w:val="22"/>
        </w:rPr>
      </w:pPr>
      <w:r w:rsidRPr="00C57C5E">
        <w:rPr>
          <w:i/>
          <w:iCs/>
          <w:sz w:val="22"/>
          <w:szCs w:val="22"/>
        </w:rPr>
        <w:t>Ngā Wairiki Ngāti Apa Developments Limited (2/3 majority ownership)</w:t>
      </w:r>
    </w:p>
    <w:p w14:paraId="2051FA52" w14:textId="77777777" w:rsidR="00C57C5E" w:rsidRPr="00C57C5E" w:rsidRDefault="00C57C5E" w:rsidP="00C57C5E">
      <w:pPr>
        <w:pStyle w:val="ListParagraph"/>
        <w:numPr>
          <w:ilvl w:val="0"/>
          <w:numId w:val="6"/>
        </w:numPr>
        <w:rPr>
          <w:i/>
          <w:iCs/>
          <w:sz w:val="22"/>
          <w:szCs w:val="22"/>
        </w:rPr>
      </w:pPr>
      <w:r w:rsidRPr="00C57C5E">
        <w:rPr>
          <w:i/>
          <w:iCs/>
          <w:sz w:val="22"/>
          <w:szCs w:val="22"/>
        </w:rPr>
        <w:t>Ātihau Whanganui Incorporation (1/3 ownership)</w:t>
      </w:r>
    </w:p>
    <w:p w14:paraId="16CD3CAD" w14:textId="77777777" w:rsidR="00C57C5E" w:rsidRPr="00C57C5E" w:rsidRDefault="00C57C5E" w:rsidP="00C57C5E">
      <w:pPr>
        <w:ind w:left="360"/>
        <w:rPr>
          <w:i/>
          <w:iCs/>
          <w:sz w:val="22"/>
          <w:szCs w:val="22"/>
        </w:rPr>
      </w:pPr>
      <w:r w:rsidRPr="00C57C5E">
        <w:rPr>
          <w:b/>
          <w:bCs/>
          <w:i/>
          <w:iCs/>
          <w:sz w:val="22"/>
          <w:szCs w:val="22"/>
        </w:rPr>
        <w:t>Governance:</w:t>
      </w:r>
      <w:r w:rsidRPr="00C57C5E">
        <w:rPr>
          <w:i/>
          <w:iCs/>
          <w:sz w:val="22"/>
          <w:szCs w:val="22"/>
        </w:rPr>
        <w:t xml:space="preserve"> Overall strategic direction, long-term asset management, and high-level decision-making are managed by a Board of Directors with strong iwi representation (headed by Board Chair Pahia Turia). The board ensures decisions align with cultural values, generational land retention, and financial sustainability.</w:t>
      </w:r>
    </w:p>
    <w:p w14:paraId="5A9D7E61" w14:textId="77777777" w:rsidR="00C57C5E" w:rsidRPr="00C57C5E" w:rsidRDefault="00C57C5E" w:rsidP="00C57C5E">
      <w:pPr>
        <w:ind w:left="360"/>
        <w:rPr>
          <w:i/>
          <w:iCs/>
          <w:sz w:val="22"/>
          <w:szCs w:val="22"/>
        </w:rPr>
      </w:pPr>
      <w:r w:rsidRPr="00C57C5E">
        <w:rPr>
          <w:b/>
          <w:bCs/>
          <w:i/>
          <w:iCs/>
          <w:sz w:val="22"/>
          <w:szCs w:val="22"/>
        </w:rPr>
        <w:t>Operations:</w:t>
      </w:r>
      <w:r w:rsidRPr="00C57C5E">
        <w:rPr>
          <w:i/>
          <w:iCs/>
          <w:sz w:val="22"/>
          <w:szCs w:val="22"/>
        </w:rPr>
        <w:t xml:space="preserve"> Day-to-day farm management is delegated to professional farm managers (Jarred and Bronwyn Clode). This separation of governance and management allows the board to focus on strategic goals while qualified managers run operational systems, such as pasture, herd, and environmental management.</w:t>
      </w:r>
    </w:p>
    <w:p w14:paraId="12A6E424" w14:textId="77777777" w:rsidR="00C57C5E" w:rsidRPr="00C57C5E" w:rsidRDefault="00C57C5E" w:rsidP="00C57C5E">
      <w:pPr>
        <w:pStyle w:val="ListParagraph"/>
        <w:ind w:left="360"/>
        <w:rPr>
          <w:sz w:val="22"/>
          <w:szCs w:val="22"/>
        </w:rPr>
      </w:pPr>
    </w:p>
    <w:p w14:paraId="49F84ADC" w14:textId="77777777" w:rsidR="00C57C5E" w:rsidRPr="00C57C5E" w:rsidRDefault="00C57C5E" w:rsidP="00C57C5E">
      <w:pPr>
        <w:pStyle w:val="ListParagraph"/>
        <w:numPr>
          <w:ilvl w:val="0"/>
          <w:numId w:val="5"/>
        </w:numPr>
        <w:rPr>
          <w:sz w:val="22"/>
          <w:szCs w:val="22"/>
        </w:rPr>
      </w:pPr>
      <w:r w:rsidRPr="00C57C5E">
        <w:rPr>
          <w:sz w:val="22"/>
          <w:szCs w:val="22"/>
        </w:rPr>
        <w:t>Outline TWO strategic needs of Te Hou Farms as a primary industry business. For each strategic need, explain how their current business structure helps them achieve it.</w:t>
      </w:r>
    </w:p>
    <w:p w14:paraId="6DF77C92" w14:textId="6717B82C" w:rsidR="00C57C5E" w:rsidRPr="00C57C5E" w:rsidRDefault="00C57C5E" w:rsidP="00C57C5E">
      <w:pPr>
        <w:pStyle w:val="ListParagraph"/>
        <w:numPr>
          <w:ilvl w:val="0"/>
          <w:numId w:val="8"/>
        </w:numPr>
        <w:rPr>
          <w:i/>
          <w:iCs/>
          <w:sz w:val="22"/>
          <w:szCs w:val="22"/>
        </w:rPr>
      </w:pPr>
      <w:r w:rsidRPr="00C57C5E">
        <w:rPr>
          <w:b/>
          <w:bCs/>
          <w:i/>
          <w:iCs/>
          <w:sz w:val="22"/>
          <w:szCs w:val="22"/>
        </w:rPr>
        <w:t>Strategic Need 1: Access to Capital for Scale and Infrastructure Expansion</w:t>
      </w:r>
      <w:r w:rsidRPr="00C57C5E">
        <w:rPr>
          <w:i/>
          <w:iCs/>
          <w:sz w:val="22"/>
          <w:szCs w:val="22"/>
        </w:rPr>
        <w:t xml:space="preserve"> - </w:t>
      </w:r>
      <w:r w:rsidRPr="00C57C5E">
        <w:rPr>
          <w:i/>
          <w:iCs/>
          <w:sz w:val="22"/>
          <w:szCs w:val="22"/>
        </w:rPr>
        <w:t>Te Hou Farms requires significant capital to fund its expansion (increasing the dairy platform from 530 ha to 760 ha, building a second 80-bale rotary shed, adopting Halter technology, and growing the herd to ~2,500 cows).</w:t>
      </w:r>
      <w:r w:rsidRPr="00C57C5E">
        <w:rPr>
          <w:i/>
          <w:iCs/>
          <w:sz w:val="22"/>
          <w:szCs w:val="22"/>
        </w:rPr>
        <w:t xml:space="preserve"> </w:t>
      </w:r>
      <w:r w:rsidRPr="00C57C5E">
        <w:rPr>
          <w:i/>
          <w:iCs/>
          <w:sz w:val="22"/>
          <w:szCs w:val="22"/>
        </w:rPr>
        <w:t>Having two strong, established iwi equity partners (Ngā Wairiki Ngāti Apa and Ātihau Whanganui Incorporation) allows the business to leverage collective financial strength and retain earnings for large-scale infrastructure investments without relying solely on high individual debt or selling ancestral land.</w:t>
      </w:r>
    </w:p>
    <w:p w14:paraId="4F6D977E" w14:textId="0BAD08BC" w:rsidR="00C57C5E" w:rsidRPr="00C57C5E" w:rsidRDefault="00C57C5E" w:rsidP="00C57C5E">
      <w:pPr>
        <w:pStyle w:val="ListParagraph"/>
        <w:numPr>
          <w:ilvl w:val="0"/>
          <w:numId w:val="9"/>
        </w:numPr>
        <w:spacing w:after="0"/>
        <w:rPr>
          <w:i/>
          <w:iCs/>
          <w:sz w:val="22"/>
          <w:szCs w:val="22"/>
        </w:rPr>
      </w:pPr>
      <w:r w:rsidRPr="00C57C5E">
        <w:rPr>
          <w:b/>
          <w:bCs/>
          <w:i/>
          <w:iCs/>
          <w:sz w:val="22"/>
          <w:szCs w:val="22"/>
        </w:rPr>
        <w:t>Strategic Need 2: Environmental Stewardship and Intergenerational Sustainability (Kaitiakitanga)</w:t>
      </w:r>
      <w:r w:rsidRPr="00C57C5E">
        <w:rPr>
          <w:b/>
          <w:bCs/>
          <w:i/>
          <w:iCs/>
          <w:sz w:val="22"/>
          <w:szCs w:val="22"/>
        </w:rPr>
        <w:t xml:space="preserve"> </w:t>
      </w:r>
      <w:r w:rsidRPr="00C57C5E">
        <w:rPr>
          <w:i/>
          <w:iCs/>
          <w:sz w:val="22"/>
          <w:szCs w:val="22"/>
        </w:rPr>
        <w:t xml:space="preserve">- </w:t>
      </w:r>
      <w:r w:rsidRPr="00C57C5E">
        <w:rPr>
          <w:i/>
          <w:iCs/>
          <w:sz w:val="22"/>
          <w:szCs w:val="22"/>
        </w:rPr>
        <w:t>A primary goal for Māori agribusinesses is long-term land retention, soil health, and environmental sustainability over generations, rather than short-term profit extraction.</w:t>
      </w:r>
      <w:r w:rsidRPr="00C57C5E">
        <w:rPr>
          <w:i/>
          <w:iCs/>
          <w:sz w:val="22"/>
          <w:szCs w:val="22"/>
        </w:rPr>
        <w:t xml:space="preserve"> </w:t>
      </w:r>
      <w:r w:rsidRPr="00C57C5E">
        <w:rPr>
          <w:i/>
          <w:iCs/>
          <w:sz w:val="22"/>
          <w:szCs w:val="22"/>
        </w:rPr>
        <w:t>An iwi-backed trust</w:t>
      </w:r>
      <w:r>
        <w:rPr>
          <w:i/>
          <w:iCs/>
          <w:sz w:val="22"/>
          <w:szCs w:val="22"/>
        </w:rPr>
        <w:t xml:space="preserve"> </w:t>
      </w:r>
      <w:r w:rsidRPr="00C57C5E">
        <w:rPr>
          <w:i/>
          <w:iCs/>
          <w:sz w:val="22"/>
          <w:szCs w:val="22"/>
        </w:rPr>
        <w:t>/</w:t>
      </w:r>
      <w:r>
        <w:rPr>
          <w:i/>
          <w:iCs/>
          <w:sz w:val="22"/>
          <w:szCs w:val="22"/>
        </w:rPr>
        <w:t xml:space="preserve"> </w:t>
      </w:r>
      <w:r w:rsidRPr="00C57C5E">
        <w:rPr>
          <w:i/>
          <w:iCs/>
          <w:sz w:val="22"/>
          <w:szCs w:val="22"/>
        </w:rPr>
        <w:t>corporate structure aligns governance with a long-term horizon. It supports strategic decisions such as retiring 27 ha of riparian margins and wetlands for native planting, using minimum tillage, and shifting away from intensive cropping to protect fragile soils.</w:t>
      </w:r>
    </w:p>
    <w:p w14:paraId="555CBF26" w14:textId="77777777" w:rsidR="00C57C5E" w:rsidRPr="00C57C5E" w:rsidRDefault="00C57C5E" w:rsidP="00C57C5E">
      <w:pPr>
        <w:pStyle w:val="ListParagraph"/>
        <w:ind w:left="360"/>
        <w:rPr>
          <w:sz w:val="22"/>
          <w:szCs w:val="22"/>
        </w:rPr>
      </w:pPr>
    </w:p>
    <w:p w14:paraId="621DFDDA" w14:textId="77777777" w:rsidR="00C57C5E" w:rsidRPr="00C57C5E" w:rsidRDefault="00C57C5E" w:rsidP="00C57C5E">
      <w:pPr>
        <w:pStyle w:val="ListParagraph"/>
        <w:numPr>
          <w:ilvl w:val="0"/>
          <w:numId w:val="5"/>
        </w:numPr>
        <w:rPr>
          <w:sz w:val="22"/>
          <w:szCs w:val="22"/>
        </w:rPr>
      </w:pPr>
      <w:r w:rsidRPr="00C57C5E">
        <w:rPr>
          <w:sz w:val="22"/>
          <w:szCs w:val="22"/>
        </w:rPr>
        <w:t>Compare Te Hou Farms’ current Māori Agribusiness Joint Venture structure with an alternative structure, such as a traditional Sole Trader / Private Partnership family farm. Thoroughly explain the key differences in:</w:t>
      </w:r>
    </w:p>
    <w:p w14:paraId="33A0875C" w14:textId="77777777" w:rsidR="00C57C5E" w:rsidRPr="00C57C5E" w:rsidRDefault="00C57C5E" w:rsidP="00F711DF">
      <w:pPr>
        <w:pStyle w:val="ListParagraph"/>
        <w:numPr>
          <w:ilvl w:val="0"/>
          <w:numId w:val="13"/>
        </w:numPr>
        <w:rPr>
          <w:sz w:val="22"/>
          <w:szCs w:val="22"/>
        </w:rPr>
      </w:pPr>
      <w:r w:rsidRPr="00C57C5E">
        <w:rPr>
          <w:sz w:val="22"/>
          <w:szCs w:val="22"/>
        </w:rPr>
        <w:t>Decision-making process</w:t>
      </w:r>
    </w:p>
    <w:p w14:paraId="3075B53B" w14:textId="77777777" w:rsidR="00C57C5E" w:rsidRPr="00C57C5E" w:rsidRDefault="00C57C5E" w:rsidP="00F711DF">
      <w:pPr>
        <w:pStyle w:val="ListParagraph"/>
        <w:numPr>
          <w:ilvl w:val="0"/>
          <w:numId w:val="13"/>
        </w:numPr>
        <w:rPr>
          <w:sz w:val="22"/>
          <w:szCs w:val="22"/>
        </w:rPr>
      </w:pPr>
      <w:r w:rsidRPr="00C57C5E">
        <w:rPr>
          <w:sz w:val="22"/>
          <w:szCs w:val="22"/>
        </w:rPr>
        <w:t>Access to capital and risk exposure</w:t>
      </w:r>
    </w:p>
    <w:p w14:paraId="2EB665FC" w14:textId="77777777" w:rsidR="00C57C5E" w:rsidRPr="00C57C5E" w:rsidRDefault="00C57C5E" w:rsidP="00F711DF">
      <w:pPr>
        <w:pStyle w:val="ListParagraph"/>
        <w:numPr>
          <w:ilvl w:val="0"/>
          <w:numId w:val="13"/>
        </w:numPr>
        <w:rPr>
          <w:sz w:val="22"/>
          <w:szCs w:val="22"/>
        </w:rPr>
      </w:pPr>
      <w:r w:rsidRPr="00C57C5E">
        <w:rPr>
          <w:sz w:val="22"/>
          <w:szCs w:val="22"/>
        </w:rPr>
        <w:t>Ability to meet strategic growth goals</w:t>
      </w:r>
    </w:p>
    <w:p w14:paraId="26734E50" w14:textId="77777777" w:rsidR="00C57C5E" w:rsidRDefault="00C57C5E" w:rsidP="00C57C5E">
      <w:pPr>
        <w:pStyle w:val="ListParagraph"/>
        <w:rPr>
          <w:sz w:val="22"/>
          <w:szCs w:val="22"/>
        </w:rPr>
      </w:pPr>
    </w:p>
    <w:tbl>
      <w:tblPr>
        <w:tblStyle w:val="TableGrid"/>
        <w:tblW w:w="0" w:type="auto"/>
        <w:tblInd w:w="360" w:type="dxa"/>
        <w:tblLook w:val="04A0" w:firstRow="1" w:lastRow="0" w:firstColumn="1" w:lastColumn="0" w:noHBand="0" w:noVBand="1"/>
      </w:tblPr>
      <w:tblGrid>
        <w:gridCol w:w="1903"/>
        <w:gridCol w:w="3119"/>
        <w:gridCol w:w="3274"/>
      </w:tblGrid>
      <w:tr w:rsidR="00082C57" w:rsidRPr="00082C57" w14:paraId="4B48BD77" w14:textId="77777777" w:rsidTr="00F711DF">
        <w:tc>
          <w:tcPr>
            <w:tcW w:w="1903" w:type="dxa"/>
          </w:tcPr>
          <w:p w14:paraId="37871BD8" w14:textId="19F75FAC" w:rsidR="00082C57" w:rsidRPr="00F711DF" w:rsidRDefault="00082C57" w:rsidP="00082C57">
            <w:pPr>
              <w:pStyle w:val="ListParagraph"/>
              <w:ind w:left="0"/>
              <w:rPr>
                <w:b/>
                <w:bCs/>
                <w:sz w:val="22"/>
                <w:szCs w:val="22"/>
              </w:rPr>
            </w:pPr>
            <w:r w:rsidRPr="00F711DF">
              <w:rPr>
                <w:b/>
                <w:bCs/>
                <w:sz w:val="22"/>
                <w:szCs w:val="22"/>
              </w:rPr>
              <w:lastRenderedPageBreak/>
              <w:t xml:space="preserve">Feature </w:t>
            </w:r>
          </w:p>
        </w:tc>
        <w:tc>
          <w:tcPr>
            <w:tcW w:w="3119" w:type="dxa"/>
          </w:tcPr>
          <w:p w14:paraId="55440C67" w14:textId="1DAD452E" w:rsidR="00082C57" w:rsidRPr="00082C57" w:rsidRDefault="00082C57" w:rsidP="00082C57">
            <w:pPr>
              <w:pStyle w:val="ListParagraph"/>
              <w:ind w:left="0"/>
              <w:rPr>
                <w:b/>
                <w:bCs/>
                <w:sz w:val="22"/>
                <w:szCs w:val="22"/>
              </w:rPr>
            </w:pPr>
            <w:r w:rsidRPr="00082C57">
              <w:rPr>
                <w:b/>
                <w:bCs/>
                <w:sz w:val="22"/>
                <w:szCs w:val="22"/>
              </w:rPr>
              <w:t>Te Hou Farms (Iwi Joint Venture / Governance Board)</w:t>
            </w:r>
          </w:p>
        </w:tc>
        <w:tc>
          <w:tcPr>
            <w:tcW w:w="3274" w:type="dxa"/>
          </w:tcPr>
          <w:p w14:paraId="2E9CAA94" w14:textId="1B43BA33" w:rsidR="00082C57" w:rsidRPr="00082C57" w:rsidRDefault="00082C57" w:rsidP="00082C57">
            <w:pPr>
              <w:pStyle w:val="ListParagraph"/>
              <w:ind w:left="0"/>
              <w:rPr>
                <w:b/>
                <w:bCs/>
                <w:sz w:val="22"/>
                <w:szCs w:val="22"/>
              </w:rPr>
            </w:pPr>
            <w:r w:rsidRPr="00082C57">
              <w:rPr>
                <w:b/>
                <w:bCs/>
                <w:sz w:val="22"/>
                <w:szCs w:val="22"/>
              </w:rPr>
              <w:t>Alternative (Sole Trader / Small Family Partnership)</w:t>
            </w:r>
          </w:p>
        </w:tc>
      </w:tr>
      <w:tr w:rsidR="00082C57" w:rsidRPr="00082C57" w14:paraId="36F5F977" w14:textId="77777777" w:rsidTr="00F711DF">
        <w:tc>
          <w:tcPr>
            <w:tcW w:w="1903" w:type="dxa"/>
          </w:tcPr>
          <w:p w14:paraId="409965EE" w14:textId="229AB595" w:rsidR="00082C57" w:rsidRPr="00F711DF" w:rsidRDefault="00082C57" w:rsidP="00C57C5E">
            <w:pPr>
              <w:pStyle w:val="ListParagraph"/>
              <w:ind w:left="0"/>
              <w:rPr>
                <w:b/>
                <w:bCs/>
                <w:sz w:val="22"/>
                <w:szCs w:val="22"/>
              </w:rPr>
            </w:pPr>
            <w:r w:rsidRPr="00F711DF">
              <w:rPr>
                <w:b/>
                <w:bCs/>
                <w:sz w:val="22"/>
                <w:szCs w:val="22"/>
              </w:rPr>
              <w:t>1. Decision-Making Process</w:t>
            </w:r>
          </w:p>
        </w:tc>
        <w:tc>
          <w:tcPr>
            <w:tcW w:w="3119" w:type="dxa"/>
          </w:tcPr>
          <w:p w14:paraId="57E84449" w14:textId="1AFA8847" w:rsidR="00082C57" w:rsidRPr="00F711DF" w:rsidRDefault="00082C57" w:rsidP="00C57C5E">
            <w:pPr>
              <w:pStyle w:val="ListParagraph"/>
              <w:ind w:left="0"/>
              <w:rPr>
                <w:i/>
                <w:iCs/>
                <w:sz w:val="22"/>
                <w:szCs w:val="22"/>
              </w:rPr>
            </w:pPr>
            <w:r w:rsidRPr="00F711DF">
              <w:rPr>
                <w:i/>
                <w:iCs/>
                <w:sz w:val="22"/>
                <w:szCs w:val="22"/>
              </w:rPr>
              <w:t xml:space="preserve">Structured governance where a formal Board sets strategy and hires professional managers (e.g., Jarred </w:t>
            </w:r>
            <w:r w:rsidR="00F711DF">
              <w:rPr>
                <w:i/>
                <w:iCs/>
                <w:sz w:val="22"/>
                <w:szCs w:val="22"/>
              </w:rPr>
              <w:t>and</w:t>
            </w:r>
            <w:r w:rsidRPr="00F711DF">
              <w:rPr>
                <w:i/>
                <w:iCs/>
                <w:sz w:val="22"/>
                <w:szCs w:val="22"/>
              </w:rPr>
              <w:t xml:space="preserve"> Bronwyn Clode) for day-to-day operations. Decisions rely on data analytics (e.g., BakerAg benchmarking) and board reporting.</w:t>
            </w:r>
          </w:p>
        </w:tc>
        <w:tc>
          <w:tcPr>
            <w:tcW w:w="3274" w:type="dxa"/>
          </w:tcPr>
          <w:p w14:paraId="049082C9" w14:textId="7FF9A723" w:rsidR="00082C57" w:rsidRPr="00F711DF" w:rsidRDefault="00082C57" w:rsidP="00C57C5E">
            <w:pPr>
              <w:pStyle w:val="ListParagraph"/>
              <w:ind w:left="0"/>
              <w:rPr>
                <w:i/>
                <w:iCs/>
                <w:sz w:val="22"/>
                <w:szCs w:val="22"/>
              </w:rPr>
            </w:pPr>
            <w:r w:rsidRPr="00F711DF">
              <w:rPr>
                <w:i/>
                <w:iCs/>
                <w:sz w:val="22"/>
                <w:szCs w:val="22"/>
              </w:rPr>
              <w:t xml:space="preserve">Decision-making rests on 1–2 individuals. It is fast and </w:t>
            </w:r>
            <w:r w:rsidRPr="00F711DF">
              <w:rPr>
                <w:i/>
                <w:iCs/>
                <w:sz w:val="22"/>
                <w:szCs w:val="22"/>
              </w:rPr>
              <w:t>flexible but</w:t>
            </w:r>
            <w:r w:rsidRPr="00F711DF">
              <w:rPr>
                <w:i/>
                <w:iCs/>
                <w:sz w:val="22"/>
                <w:szCs w:val="22"/>
              </w:rPr>
              <w:t xml:space="preserve"> often lacks independent governance oversight and can be constrained by individual expertise or family dynamics.</w:t>
            </w:r>
          </w:p>
        </w:tc>
      </w:tr>
      <w:tr w:rsidR="00082C57" w:rsidRPr="00082C57" w14:paraId="2205EBA9" w14:textId="77777777" w:rsidTr="00F711DF">
        <w:tc>
          <w:tcPr>
            <w:tcW w:w="1903" w:type="dxa"/>
          </w:tcPr>
          <w:p w14:paraId="157016A9" w14:textId="071CC5CB" w:rsidR="00082C57" w:rsidRPr="00F711DF" w:rsidRDefault="00082C57" w:rsidP="00C57C5E">
            <w:pPr>
              <w:pStyle w:val="ListParagraph"/>
              <w:ind w:left="0"/>
              <w:rPr>
                <w:b/>
                <w:bCs/>
                <w:sz w:val="22"/>
                <w:szCs w:val="22"/>
              </w:rPr>
            </w:pPr>
            <w:r w:rsidRPr="00F711DF">
              <w:rPr>
                <w:b/>
                <w:bCs/>
                <w:sz w:val="22"/>
                <w:szCs w:val="22"/>
              </w:rPr>
              <w:t xml:space="preserve">2. Access to Capital </w:t>
            </w:r>
            <w:r w:rsidR="00F711DF">
              <w:rPr>
                <w:b/>
                <w:bCs/>
                <w:sz w:val="22"/>
                <w:szCs w:val="22"/>
              </w:rPr>
              <w:t>and</w:t>
            </w:r>
            <w:r w:rsidRPr="00F711DF">
              <w:rPr>
                <w:b/>
                <w:bCs/>
                <w:sz w:val="22"/>
                <w:szCs w:val="22"/>
              </w:rPr>
              <w:t xml:space="preserve"> Risk Exposure</w:t>
            </w:r>
          </w:p>
        </w:tc>
        <w:tc>
          <w:tcPr>
            <w:tcW w:w="3119" w:type="dxa"/>
          </w:tcPr>
          <w:p w14:paraId="08220F5D" w14:textId="75258243" w:rsidR="00082C57" w:rsidRPr="00F711DF" w:rsidRDefault="00F711DF" w:rsidP="00C57C5E">
            <w:pPr>
              <w:pStyle w:val="ListParagraph"/>
              <w:ind w:left="0"/>
              <w:rPr>
                <w:i/>
                <w:iCs/>
                <w:sz w:val="22"/>
                <w:szCs w:val="22"/>
              </w:rPr>
            </w:pPr>
            <w:r w:rsidRPr="00F711DF">
              <w:rPr>
                <w:i/>
                <w:iCs/>
                <w:sz w:val="22"/>
                <w:szCs w:val="22"/>
              </w:rPr>
              <w:t xml:space="preserve">High access to capital pooled from two iwi entities. Risk is shared across the equity partners and backed by a </w:t>
            </w:r>
            <w:r w:rsidRPr="00F711DF">
              <w:rPr>
                <w:i/>
                <w:iCs/>
                <w:sz w:val="22"/>
                <w:szCs w:val="22"/>
              </w:rPr>
              <w:t>1,324-ha</w:t>
            </w:r>
            <w:r w:rsidRPr="00F711DF">
              <w:rPr>
                <w:i/>
                <w:iCs/>
                <w:sz w:val="22"/>
                <w:szCs w:val="22"/>
              </w:rPr>
              <w:t xml:space="preserve"> land base, lowering individual financial risk.</w:t>
            </w:r>
          </w:p>
        </w:tc>
        <w:tc>
          <w:tcPr>
            <w:tcW w:w="3274" w:type="dxa"/>
          </w:tcPr>
          <w:p w14:paraId="1DB41E95" w14:textId="328EEBED" w:rsidR="00082C57" w:rsidRPr="00F711DF" w:rsidRDefault="00F711DF" w:rsidP="00C57C5E">
            <w:pPr>
              <w:pStyle w:val="ListParagraph"/>
              <w:ind w:left="0"/>
              <w:rPr>
                <w:i/>
                <w:iCs/>
                <w:sz w:val="22"/>
                <w:szCs w:val="22"/>
              </w:rPr>
            </w:pPr>
            <w:r w:rsidRPr="00F711DF">
              <w:rPr>
                <w:i/>
                <w:iCs/>
                <w:sz w:val="22"/>
                <w:szCs w:val="22"/>
              </w:rPr>
              <w:t>Limited to personal equity, savings, or bank debt against personal assets. High personal risk exposure if farm returns drop or interest rates rise.</w:t>
            </w:r>
          </w:p>
        </w:tc>
      </w:tr>
      <w:tr w:rsidR="00082C57" w:rsidRPr="00082C57" w14:paraId="264EC7A6" w14:textId="77777777" w:rsidTr="00F711DF">
        <w:tc>
          <w:tcPr>
            <w:tcW w:w="1903" w:type="dxa"/>
          </w:tcPr>
          <w:p w14:paraId="582E6857" w14:textId="2EA64947" w:rsidR="00082C57" w:rsidRPr="00F711DF" w:rsidRDefault="00082C57" w:rsidP="00C57C5E">
            <w:pPr>
              <w:pStyle w:val="ListParagraph"/>
              <w:ind w:left="0"/>
              <w:rPr>
                <w:b/>
                <w:bCs/>
                <w:sz w:val="22"/>
                <w:szCs w:val="22"/>
              </w:rPr>
            </w:pPr>
            <w:r w:rsidRPr="00F711DF">
              <w:rPr>
                <w:b/>
                <w:bCs/>
                <w:sz w:val="22"/>
                <w:szCs w:val="22"/>
              </w:rPr>
              <w:t xml:space="preserve">3. Strategic Growth </w:t>
            </w:r>
            <w:r w:rsidR="00F711DF">
              <w:rPr>
                <w:b/>
                <w:bCs/>
                <w:sz w:val="22"/>
                <w:szCs w:val="22"/>
              </w:rPr>
              <w:t>and</w:t>
            </w:r>
            <w:r w:rsidRPr="00F711DF">
              <w:rPr>
                <w:b/>
                <w:bCs/>
                <w:sz w:val="22"/>
                <w:szCs w:val="22"/>
              </w:rPr>
              <w:t xml:space="preserve"> Scale</w:t>
            </w:r>
          </w:p>
        </w:tc>
        <w:tc>
          <w:tcPr>
            <w:tcW w:w="3119" w:type="dxa"/>
          </w:tcPr>
          <w:p w14:paraId="0765C96B" w14:textId="46BEB59B" w:rsidR="00082C57" w:rsidRPr="00F711DF" w:rsidRDefault="00F711DF" w:rsidP="00C57C5E">
            <w:pPr>
              <w:pStyle w:val="ListParagraph"/>
              <w:ind w:left="0"/>
              <w:rPr>
                <w:i/>
                <w:iCs/>
                <w:sz w:val="22"/>
                <w:szCs w:val="22"/>
              </w:rPr>
            </w:pPr>
            <w:r w:rsidRPr="00F711DF">
              <w:rPr>
                <w:i/>
                <w:iCs/>
                <w:sz w:val="22"/>
                <w:szCs w:val="22"/>
              </w:rPr>
              <w:t>Highly capable of funding massive growth projects (e.g., expanding output from ~960,000 kg MS to 1.425M kg MS, installing automated rotary sheds).</w:t>
            </w:r>
          </w:p>
        </w:tc>
        <w:tc>
          <w:tcPr>
            <w:tcW w:w="3274" w:type="dxa"/>
          </w:tcPr>
          <w:p w14:paraId="66ECD25A" w14:textId="7F156E10" w:rsidR="00082C57" w:rsidRPr="00F711DF" w:rsidRDefault="00F711DF" w:rsidP="00C57C5E">
            <w:pPr>
              <w:pStyle w:val="ListParagraph"/>
              <w:ind w:left="0"/>
              <w:rPr>
                <w:i/>
                <w:iCs/>
                <w:sz w:val="22"/>
                <w:szCs w:val="22"/>
              </w:rPr>
            </w:pPr>
            <w:r w:rsidRPr="00F711DF">
              <w:rPr>
                <w:i/>
                <w:iCs/>
                <w:sz w:val="22"/>
                <w:szCs w:val="22"/>
              </w:rPr>
              <w:t>Hard to achieve massive scale quickly due to capital constraints. Growth is usually incremental and slow.</w:t>
            </w:r>
          </w:p>
        </w:tc>
      </w:tr>
    </w:tbl>
    <w:p w14:paraId="4B0AA352" w14:textId="77777777" w:rsidR="00C57C5E" w:rsidRDefault="00C57C5E" w:rsidP="00C57C5E">
      <w:pPr>
        <w:pStyle w:val="ListParagraph"/>
        <w:rPr>
          <w:sz w:val="22"/>
          <w:szCs w:val="22"/>
        </w:rPr>
      </w:pPr>
    </w:p>
    <w:p w14:paraId="008A7328" w14:textId="27AC8748" w:rsidR="00F711DF" w:rsidRPr="00F711DF" w:rsidRDefault="00F711DF" w:rsidP="00F711DF">
      <w:pPr>
        <w:pStyle w:val="ListParagraph"/>
        <w:ind w:left="360"/>
        <w:rPr>
          <w:i/>
          <w:iCs/>
          <w:sz w:val="22"/>
          <w:szCs w:val="22"/>
        </w:rPr>
      </w:pPr>
      <w:r w:rsidRPr="00F711DF">
        <w:rPr>
          <w:i/>
          <w:iCs/>
          <w:sz w:val="22"/>
          <w:szCs w:val="22"/>
        </w:rPr>
        <w:t xml:space="preserve">A Sole Trader or small Partnership structure would be </w:t>
      </w:r>
      <w:r w:rsidRPr="00F711DF">
        <w:rPr>
          <w:b/>
          <w:bCs/>
          <w:i/>
          <w:iCs/>
          <w:sz w:val="22"/>
          <w:szCs w:val="22"/>
        </w:rPr>
        <w:t>unsuitable</w:t>
      </w:r>
      <w:r w:rsidRPr="00F711DF">
        <w:rPr>
          <w:i/>
          <w:iCs/>
          <w:sz w:val="22"/>
          <w:szCs w:val="22"/>
        </w:rPr>
        <w:t xml:space="preserve"> for an operation of Te Hou Farms' scale (1,324 ha). The Joint Venture structure with professional governance is far superior because it balances cultural accountability, large capital requirements, and risk mitigation, enabling the enterprise to perform in the top tier of dairy operations (benchmarked via BakerAg).</w:t>
      </w:r>
    </w:p>
    <w:p w14:paraId="39E9D9B0" w14:textId="77777777" w:rsidR="00F711DF" w:rsidRPr="00C57C5E" w:rsidRDefault="00F711DF" w:rsidP="00C57C5E">
      <w:pPr>
        <w:pStyle w:val="ListParagraph"/>
        <w:rPr>
          <w:sz w:val="22"/>
          <w:szCs w:val="22"/>
        </w:rPr>
      </w:pPr>
    </w:p>
    <w:p w14:paraId="30901DC4" w14:textId="77777777" w:rsidR="00C57C5E" w:rsidRPr="00C57C5E" w:rsidRDefault="00C57C5E" w:rsidP="00C57C5E">
      <w:pPr>
        <w:pStyle w:val="ListParagraph"/>
        <w:numPr>
          <w:ilvl w:val="0"/>
          <w:numId w:val="5"/>
        </w:numPr>
        <w:rPr>
          <w:sz w:val="22"/>
          <w:szCs w:val="22"/>
        </w:rPr>
      </w:pPr>
      <w:r w:rsidRPr="00C57C5E">
        <w:rPr>
          <w:sz w:val="22"/>
          <w:szCs w:val="22"/>
        </w:rPr>
        <w:t>Evaluate the long-term and short-term implications of Te Hou Farms' business structure on its overall success and viability. Conclude with a justified judgment on whether this structure is the best fit for their strategic direction.</w:t>
      </w:r>
    </w:p>
    <w:p w14:paraId="269C4574" w14:textId="77777777" w:rsidR="00F711DF" w:rsidRPr="00F711DF" w:rsidRDefault="00F711DF" w:rsidP="00F711DF">
      <w:pPr>
        <w:ind w:left="360"/>
        <w:rPr>
          <w:b/>
          <w:bCs/>
          <w:i/>
          <w:iCs/>
          <w:sz w:val="22"/>
          <w:szCs w:val="22"/>
        </w:rPr>
      </w:pPr>
      <w:r w:rsidRPr="00F711DF">
        <w:rPr>
          <w:b/>
          <w:bCs/>
          <w:i/>
          <w:iCs/>
          <w:sz w:val="22"/>
          <w:szCs w:val="22"/>
        </w:rPr>
        <w:t>1. Short-Term Implications</w:t>
      </w:r>
    </w:p>
    <w:p w14:paraId="542136BA" w14:textId="1BA820DF" w:rsidR="00F711DF" w:rsidRPr="00F711DF" w:rsidRDefault="00F711DF" w:rsidP="00F711DF">
      <w:pPr>
        <w:numPr>
          <w:ilvl w:val="0"/>
          <w:numId w:val="11"/>
        </w:numPr>
        <w:tabs>
          <w:tab w:val="clear" w:pos="720"/>
          <w:tab w:val="num" w:pos="1080"/>
        </w:tabs>
        <w:ind w:left="1080"/>
        <w:rPr>
          <w:i/>
          <w:iCs/>
          <w:sz w:val="22"/>
          <w:szCs w:val="22"/>
        </w:rPr>
      </w:pPr>
      <w:r w:rsidRPr="00F711DF">
        <w:rPr>
          <w:b/>
          <w:bCs/>
          <w:i/>
          <w:iCs/>
          <w:sz w:val="22"/>
          <w:szCs w:val="22"/>
        </w:rPr>
        <w:t xml:space="preserve">Operational Accountability </w:t>
      </w:r>
      <w:r>
        <w:rPr>
          <w:b/>
          <w:bCs/>
          <w:i/>
          <w:iCs/>
          <w:sz w:val="22"/>
          <w:szCs w:val="22"/>
        </w:rPr>
        <w:t>and</w:t>
      </w:r>
      <w:r w:rsidRPr="00F711DF">
        <w:rPr>
          <w:b/>
          <w:bCs/>
          <w:i/>
          <w:iCs/>
          <w:sz w:val="22"/>
          <w:szCs w:val="22"/>
        </w:rPr>
        <w:t xml:space="preserve"> Data-Driven Performance:</w:t>
      </w:r>
      <w:r w:rsidRPr="00F711DF">
        <w:rPr>
          <w:i/>
          <w:iCs/>
          <w:sz w:val="22"/>
          <w:szCs w:val="22"/>
        </w:rPr>
        <w:t xml:space="preserve"> Separating governance (Board) from management (the Clodes) creates clear performance expectations. The managers use toolsets like BakerAg Dairy System Monitoring and Halter precision tech to report directly to the Board. This ensures short-term operational decisions (e.g., feed planning, </w:t>
      </w:r>
      <w:r w:rsidRPr="00F711DF">
        <w:rPr>
          <w:i/>
          <w:iCs/>
          <w:sz w:val="22"/>
          <w:szCs w:val="22"/>
        </w:rPr>
        <w:t>labour</w:t>
      </w:r>
      <w:r w:rsidRPr="00F711DF">
        <w:rPr>
          <w:i/>
          <w:iCs/>
          <w:sz w:val="22"/>
          <w:szCs w:val="22"/>
        </w:rPr>
        <w:t xml:space="preserve"> scheduling) directly serve financial targets.</w:t>
      </w:r>
    </w:p>
    <w:p w14:paraId="193D5145" w14:textId="0E5F4043" w:rsidR="00F711DF" w:rsidRPr="00F711DF" w:rsidRDefault="00F711DF" w:rsidP="00F711DF">
      <w:pPr>
        <w:numPr>
          <w:ilvl w:val="0"/>
          <w:numId w:val="11"/>
        </w:numPr>
        <w:tabs>
          <w:tab w:val="clear" w:pos="720"/>
          <w:tab w:val="num" w:pos="1080"/>
        </w:tabs>
        <w:ind w:left="1080"/>
        <w:rPr>
          <w:i/>
          <w:iCs/>
          <w:sz w:val="22"/>
          <w:szCs w:val="22"/>
        </w:rPr>
      </w:pPr>
      <w:r w:rsidRPr="00F711DF">
        <w:rPr>
          <w:b/>
          <w:bCs/>
          <w:i/>
          <w:iCs/>
          <w:sz w:val="22"/>
          <w:szCs w:val="22"/>
        </w:rPr>
        <w:t xml:space="preserve">Higher Governance </w:t>
      </w:r>
      <w:r>
        <w:rPr>
          <w:b/>
          <w:bCs/>
          <w:i/>
          <w:iCs/>
          <w:sz w:val="22"/>
          <w:szCs w:val="22"/>
        </w:rPr>
        <w:t>and</w:t>
      </w:r>
      <w:r w:rsidRPr="00F711DF">
        <w:rPr>
          <w:b/>
          <w:bCs/>
          <w:i/>
          <w:iCs/>
          <w:sz w:val="22"/>
          <w:szCs w:val="22"/>
        </w:rPr>
        <w:t xml:space="preserve"> Reporting Overheads:</w:t>
      </w:r>
      <w:r w:rsidRPr="00F711DF">
        <w:rPr>
          <w:i/>
          <w:iCs/>
          <w:sz w:val="22"/>
          <w:szCs w:val="22"/>
        </w:rPr>
        <w:t xml:space="preserve"> Maintaining a formal board structure requires ongoing administrative, reporting, and legal expenses compared to an informal family partnership. However, for a multi-</w:t>
      </w:r>
      <w:r w:rsidRPr="00F711DF">
        <w:rPr>
          <w:i/>
          <w:iCs/>
          <w:sz w:val="22"/>
          <w:szCs w:val="22"/>
        </w:rPr>
        <w:t>million-dollar</w:t>
      </w:r>
      <w:r w:rsidRPr="00F711DF">
        <w:rPr>
          <w:i/>
          <w:iCs/>
          <w:sz w:val="22"/>
          <w:szCs w:val="22"/>
        </w:rPr>
        <w:t xml:space="preserve"> operation forecasting up to 1.425 million kg MS, these costs are a minor percentage of overall revenue.</w:t>
      </w:r>
    </w:p>
    <w:p w14:paraId="6063736B" w14:textId="77777777" w:rsidR="00F711DF" w:rsidRPr="00F711DF" w:rsidRDefault="00F711DF" w:rsidP="00F711DF">
      <w:pPr>
        <w:ind w:left="360"/>
        <w:rPr>
          <w:b/>
          <w:bCs/>
          <w:i/>
          <w:iCs/>
          <w:sz w:val="22"/>
          <w:szCs w:val="22"/>
        </w:rPr>
      </w:pPr>
      <w:r w:rsidRPr="00F711DF">
        <w:rPr>
          <w:b/>
          <w:bCs/>
          <w:i/>
          <w:iCs/>
          <w:sz w:val="22"/>
          <w:szCs w:val="22"/>
        </w:rPr>
        <w:lastRenderedPageBreak/>
        <w:t>2. Long-Term Implications</w:t>
      </w:r>
    </w:p>
    <w:p w14:paraId="624FC847" w14:textId="77777777" w:rsidR="00F711DF" w:rsidRPr="00F711DF" w:rsidRDefault="00F711DF" w:rsidP="00F711DF">
      <w:pPr>
        <w:numPr>
          <w:ilvl w:val="0"/>
          <w:numId w:val="12"/>
        </w:numPr>
        <w:tabs>
          <w:tab w:val="clear" w:pos="720"/>
          <w:tab w:val="num" w:pos="1080"/>
        </w:tabs>
        <w:ind w:left="1080"/>
        <w:rPr>
          <w:i/>
          <w:iCs/>
          <w:sz w:val="22"/>
          <w:szCs w:val="22"/>
        </w:rPr>
      </w:pPr>
      <w:r w:rsidRPr="00F711DF">
        <w:rPr>
          <w:b/>
          <w:bCs/>
          <w:i/>
          <w:iCs/>
          <w:sz w:val="22"/>
          <w:szCs w:val="22"/>
        </w:rPr>
        <w:t>Land Retention vs. Capital Raising Constraints:</w:t>
      </w:r>
      <w:r w:rsidRPr="00F711DF">
        <w:rPr>
          <w:i/>
          <w:iCs/>
          <w:sz w:val="22"/>
          <w:szCs w:val="22"/>
        </w:rPr>
        <w:t xml:space="preserve"> In Māori agribusiness structures, land is culturally significant and generally held intergenerationally. This means equity funding cannot easily be raised by selling off parcels of land to outside investors. Instead, capital growth relies heavily on retained profits, joint ventures, or debt funding.</w:t>
      </w:r>
    </w:p>
    <w:p w14:paraId="29C34807" w14:textId="77777777" w:rsidR="00F711DF" w:rsidRPr="00F711DF" w:rsidRDefault="00F711DF" w:rsidP="00F711DF">
      <w:pPr>
        <w:numPr>
          <w:ilvl w:val="0"/>
          <w:numId w:val="12"/>
        </w:numPr>
        <w:tabs>
          <w:tab w:val="clear" w:pos="720"/>
          <w:tab w:val="num" w:pos="1080"/>
        </w:tabs>
        <w:ind w:left="1080"/>
        <w:rPr>
          <w:i/>
          <w:iCs/>
          <w:sz w:val="22"/>
          <w:szCs w:val="22"/>
        </w:rPr>
      </w:pPr>
      <w:r w:rsidRPr="00F711DF">
        <w:rPr>
          <w:b/>
          <w:bCs/>
          <w:i/>
          <w:iCs/>
          <w:sz w:val="22"/>
          <w:szCs w:val="22"/>
        </w:rPr>
        <w:t>Sustainable Intergenerational Wealth:</w:t>
      </w:r>
      <w:r w:rsidRPr="00F711DF">
        <w:rPr>
          <w:i/>
          <w:iCs/>
          <w:sz w:val="22"/>
          <w:szCs w:val="22"/>
        </w:rPr>
        <w:t xml:space="preserve"> Because the owners are iwi entities, profits flow back into tribal development, local employment, and training opportunities. Furthermore, environmental investments (e.g., 27 ha native plantings, carbon offsets, soil health focus) protect the land's productive capability for future generations, ensuring the asset does not degrade over time.</w:t>
      </w:r>
    </w:p>
    <w:p w14:paraId="43AEEE2A" w14:textId="39B68745" w:rsidR="00F711DF" w:rsidRPr="00F711DF" w:rsidRDefault="00F711DF" w:rsidP="00F711DF">
      <w:pPr>
        <w:numPr>
          <w:ilvl w:val="0"/>
          <w:numId w:val="12"/>
        </w:numPr>
        <w:tabs>
          <w:tab w:val="clear" w:pos="720"/>
          <w:tab w:val="num" w:pos="1080"/>
        </w:tabs>
        <w:ind w:left="1080"/>
        <w:rPr>
          <w:i/>
          <w:iCs/>
          <w:sz w:val="22"/>
          <w:szCs w:val="22"/>
        </w:rPr>
      </w:pPr>
      <w:r w:rsidRPr="00F711DF">
        <w:rPr>
          <w:b/>
          <w:bCs/>
          <w:i/>
          <w:iCs/>
          <w:sz w:val="22"/>
          <w:szCs w:val="22"/>
        </w:rPr>
        <w:t>Attracting and Retaining Top Talent:</w:t>
      </w:r>
      <w:r w:rsidRPr="00F711DF">
        <w:rPr>
          <w:i/>
          <w:iCs/>
          <w:sz w:val="22"/>
          <w:szCs w:val="22"/>
        </w:rPr>
        <w:t xml:space="preserve"> The board structure provides the financial capability to invest in modern infrastructure (rotary sheds, health </w:t>
      </w:r>
      <w:r>
        <w:rPr>
          <w:i/>
          <w:iCs/>
          <w:sz w:val="22"/>
          <w:szCs w:val="22"/>
        </w:rPr>
        <w:t>and</w:t>
      </w:r>
      <w:r w:rsidRPr="00F711DF">
        <w:rPr>
          <w:i/>
          <w:iCs/>
          <w:sz w:val="22"/>
          <w:szCs w:val="22"/>
        </w:rPr>
        <w:t xml:space="preserve"> safety systems, Halter technology). This reduces burnout, improves work-life balance, and allows Te Hou Farms to attract top-tier farm managers and staff—a key long-term risk mitigation in the primary sector.</w:t>
      </w:r>
    </w:p>
    <w:p w14:paraId="22BD54D6" w14:textId="526A07DB" w:rsidR="00F711DF" w:rsidRPr="00F711DF" w:rsidRDefault="00F711DF" w:rsidP="00F711DF">
      <w:pPr>
        <w:ind w:left="360"/>
        <w:rPr>
          <w:i/>
          <w:iCs/>
          <w:sz w:val="22"/>
          <w:szCs w:val="22"/>
        </w:rPr>
      </w:pPr>
      <w:r w:rsidRPr="00F711DF">
        <w:rPr>
          <w:i/>
          <w:iCs/>
          <w:sz w:val="22"/>
          <w:szCs w:val="22"/>
        </w:rPr>
        <w:t xml:space="preserve">Overall, the Joint Venture / Iwi Governance structure is the </w:t>
      </w:r>
      <w:r w:rsidRPr="00F711DF">
        <w:rPr>
          <w:b/>
          <w:bCs/>
          <w:i/>
          <w:iCs/>
          <w:sz w:val="22"/>
          <w:szCs w:val="22"/>
        </w:rPr>
        <w:t>ideal fit</w:t>
      </w:r>
      <w:r w:rsidRPr="00F711DF">
        <w:rPr>
          <w:i/>
          <w:iCs/>
          <w:sz w:val="22"/>
          <w:szCs w:val="22"/>
        </w:rPr>
        <w:t xml:space="preserve"> for Te Hou Farms. While it introduces additional reporting layers and restricts simple equity capital generation through land sales, these potential drawbacks are vastly outweighed by the benefits. It provides the scale, financial backing, strategic oversight, and alignment with cultural values necessary to drive a 60% production growth target while winning environmental awards (Horizons Ballance Farm Environment Awards). No other structure could simultaneously </w:t>
      </w:r>
      <w:r w:rsidR="007D334A" w:rsidRPr="00F711DF">
        <w:rPr>
          <w:i/>
          <w:iCs/>
          <w:sz w:val="22"/>
          <w:szCs w:val="22"/>
        </w:rPr>
        <w:t>fulfil</w:t>
      </w:r>
      <w:r w:rsidRPr="00F711DF">
        <w:rPr>
          <w:i/>
          <w:iCs/>
          <w:sz w:val="22"/>
          <w:szCs w:val="22"/>
        </w:rPr>
        <w:t xml:space="preserve"> their commercial ambitions and long-term kaitiakitanga goals.</w:t>
      </w:r>
    </w:p>
    <w:p w14:paraId="4DD1EBC9" w14:textId="77777777" w:rsidR="00977350" w:rsidRDefault="00977350"/>
    <w:sectPr w:rsidR="00977350" w:rsidSect="00C57C5E">
      <w:headerReference w:type="default" r:id="rId9"/>
      <w:footerReference w:type="defaul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C7D36" w14:textId="77777777" w:rsidR="005C51D1" w:rsidRDefault="005C51D1" w:rsidP="00977350">
      <w:pPr>
        <w:spacing w:after="0" w:line="240" w:lineRule="auto"/>
      </w:pPr>
      <w:r>
        <w:separator/>
      </w:r>
    </w:p>
  </w:endnote>
  <w:endnote w:type="continuationSeparator" w:id="0">
    <w:p w14:paraId="19880F57" w14:textId="77777777" w:rsidR="005C51D1" w:rsidRDefault="005C51D1" w:rsidP="00977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E08E" w14:textId="229DD44F" w:rsidR="00977350" w:rsidRDefault="00977350">
    <w:pPr>
      <w:pStyle w:val="Footer"/>
    </w:pPr>
    <w:r>
      <w:rPr>
        <w:noProof/>
      </w:rPr>
      <w:drawing>
        <wp:anchor distT="0" distB="0" distL="114300" distR="114300" simplePos="0" relativeHeight="251661312" behindDoc="0" locked="0" layoutInCell="1" allowOverlap="1" wp14:anchorId="1BE6997E" wp14:editId="789B327D">
          <wp:simplePos x="0" y="0"/>
          <wp:positionH relativeFrom="margin">
            <wp:posOffset>0</wp:posOffset>
          </wp:positionH>
          <wp:positionV relativeFrom="paragraph">
            <wp:posOffset>180975</wp:posOffset>
          </wp:positionV>
          <wp:extent cx="5731510" cy="642620"/>
          <wp:effectExtent l="0" t="0" r="2540" b="5080"/>
          <wp:wrapTopAndBottom/>
          <wp:docPr id="2062348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FEC7" w14:textId="77777777" w:rsidR="005C51D1" w:rsidRDefault="005C51D1" w:rsidP="00977350">
      <w:pPr>
        <w:spacing w:after="0" w:line="240" w:lineRule="auto"/>
      </w:pPr>
      <w:r>
        <w:separator/>
      </w:r>
    </w:p>
  </w:footnote>
  <w:footnote w:type="continuationSeparator" w:id="0">
    <w:p w14:paraId="152AC13C" w14:textId="77777777" w:rsidR="005C51D1" w:rsidRDefault="005C51D1" w:rsidP="00977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7764" w14:textId="5B9EC836" w:rsidR="00977350" w:rsidRDefault="00977350">
    <w:pPr>
      <w:pStyle w:val="Header"/>
    </w:pPr>
    <w:r>
      <w:rPr>
        <w:noProof/>
      </w:rPr>
      <w:drawing>
        <wp:anchor distT="0" distB="0" distL="114300" distR="114300" simplePos="0" relativeHeight="251659264" behindDoc="0" locked="0" layoutInCell="1" allowOverlap="1" wp14:anchorId="7573A6CB" wp14:editId="76A4CE4E">
          <wp:simplePos x="0" y="0"/>
          <wp:positionH relativeFrom="margin">
            <wp:align>right</wp:align>
          </wp:positionH>
          <wp:positionV relativeFrom="paragraph">
            <wp:posOffset>-324485</wp:posOffset>
          </wp:positionV>
          <wp:extent cx="1715135" cy="724535"/>
          <wp:effectExtent l="0" t="0" r="0" b="0"/>
          <wp:wrapSquare wrapText="bothSides"/>
          <wp:docPr id="195046507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724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60A"/>
    <w:multiLevelType w:val="multilevel"/>
    <w:tmpl w:val="004A75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475C99"/>
    <w:multiLevelType w:val="multilevel"/>
    <w:tmpl w:val="39B2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82089"/>
    <w:multiLevelType w:val="multilevel"/>
    <w:tmpl w:val="A026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056F0"/>
    <w:multiLevelType w:val="multilevel"/>
    <w:tmpl w:val="E26E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14D99"/>
    <w:multiLevelType w:val="multilevel"/>
    <w:tmpl w:val="397E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FE6DC1"/>
    <w:multiLevelType w:val="hybridMultilevel"/>
    <w:tmpl w:val="938852C2"/>
    <w:lvl w:ilvl="0" w:tplc="1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A03945"/>
    <w:multiLevelType w:val="hybridMultilevel"/>
    <w:tmpl w:val="378E96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1A94F99"/>
    <w:multiLevelType w:val="multilevel"/>
    <w:tmpl w:val="AE10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93760"/>
    <w:multiLevelType w:val="hybridMultilevel"/>
    <w:tmpl w:val="378E96C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49783589"/>
    <w:multiLevelType w:val="multilevel"/>
    <w:tmpl w:val="EF7CE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B44453"/>
    <w:multiLevelType w:val="multilevel"/>
    <w:tmpl w:val="D51AF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726016"/>
    <w:multiLevelType w:val="hybridMultilevel"/>
    <w:tmpl w:val="938852C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CC52E42"/>
    <w:multiLevelType w:val="hybridMultilevel"/>
    <w:tmpl w:val="8BBE81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63301060">
    <w:abstractNumId w:val="8"/>
  </w:num>
  <w:num w:numId="2" w16cid:durableId="870923274">
    <w:abstractNumId w:val="10"/>
  </w:num>
  <w:num w:numId="3" w16cid:durableId="1177505632">
    <w:abstractNumId w:val="5"/>
  </w:num>
  <w:num w:numId="4" w16cid:durableId="867445768">
    <w:abstractNumId w:val="0"/>
  </w:num>
  <w:num w:numId="5" w16cid:durableId="1180774971">
    <w:abstractNumId w:val="6"/>
  </w:num>
  <w:num w:numId="6" w16cid:durableId="1728601992">
    <w:abstractNumId w:val="4"/>
  </w:num>
  <w:num w:numId="7" w16cid:durableId="1869365748">
    <w:abstractNumId w:val="7"/>
  </w:num>
  <w:num w:numId="8" w16cid:durableId="1185829132">
    <w:abstractNumId w:val="3"/>
  </w:num>
  <w:num w:numId="9" w16cid:durableId="491218160">
    <w:abstractNumId w:val="2"/>
  </w:num>
  <w:num w:numId="10" w16cid:durableId="357200318">
    <w:abstractNumId w:val="12"/>
  </w:num>
  <w:num w:numId="11" w16cid:durableId="1868521489">
    <w:abstractNumId w:val="1"/>
  </w:num>
  <w:num w:numId="12" w16cid:durableId="731078181">
    <w:abstractNumId w:val="9"/>
  </w:num>
  <w:num w:numId="13" w16cid:durableId="1998262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350"/>
    <w:rsid w:val="00057115"/>
    <w:rsid w:val="00082C57"/>
    <w:rsid w:val="002D76AE"/>
    <w:rsid w:val="004F0666"/>
    <w:rsid w:val="005C51D1"/>
    <w:rsid w:val="007D334A"/>
    <w:rsid w:val="00977350"/>
    <w:rsid w:val="00C57C5E"/>
    <w:rsid w:val="00E554FE"/>
    <w:rsid w:val="00E66ECB"/>
    <w:rsid w:val="00F711DF"/>
    <w:rsid w:val="00FA66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D585"/>
  <w15:chartTrackingRefBased/>
  <w15:docId w15:val="{5C303044-0EF9-4936-909A-DF976CDB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7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7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7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350"/>
    <w:rPr>
      <w:rFonts w:eastAsiaTheme="majorEastAsia" w:cstheme="majorBidi"/>
      <w:color w:val="272727" w:themeColor="text1" w:themeTint="D8"/>
    </w:rPr>
  </w:style>
  <w:style w:type="paragraph" w:styleId="Title">
    <w:name w:val="Title"/>
    <w:basedOn w:val="Normal"/>
    <w:next w:val="Normal"/>
    <w:link w:val="TitleChar"/>
    <w:uiPriority w:val="10"/>
    <w:qFormat/>
    <w:rsid w:val="00977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350"/>
    <w:pPr>
      <w:spacing w:before="160"/>
      <w:jc w:val="center"/>
    </w:pPr>
    <w:rPr>
      <w:i/>
      <w:iCs/>
      <w:color w:val="404040" w:themeColor="text1" w:themeTint="BF"/>
    </w:rPr>
  </w:style>
  <w:style w:type="character" w:customStyle="1" w:styleId="QuoteChar">
    <w:name w:val="Quote Char"/>
    <w:basedOn w:val="DefaultParagraphFont"/>
    <w:link w:val="Quote"/>
    <w:uiPriority w:val="29"/>
    <w:rsid w:val="00977350"/>
    <w:rPr>
      <w:i/>
      <w:iCs/>
      <w:color w:val="404040" w:themeColor="text1" w:themeTint="BF"/>
    </w:rPr>
  </w:style>
  <w:style w:type="paragraph" w:styleId="ListParagraph">
    <w:name w:val="List Paragraph"/>
    <w:basedOn w:val="Normal"/>
    <w:uiPriority w:val="34"/>
    <w:qFormat/>
    <w:rsid w:val="00977350"/>
    <w:pPr>
      <w:ind w:left="720"/>
      <w:contextualSpacing/>
    </w:pPr>
  </w:style>
  <w:style w:type="character" w:styleId="IntenseEmphasis">
    <w:name w:val="Intense Emphasis"/>
    <w:basedOn w:val="DefaultParagraphFont"/>
    <w:uiPriority w:val="21"/>
    <w:qFormat/>
    <w:rsid w:val="00977350"/>
    <w:rPr>
      <w:i/>
      <w:iCs/>
      <w:color w:val="0F4761" w:themeColor="accent1" w:themeShade="BF"/>
    </w:rPr>
  </w:style>
  <w:style w:type="paragraph" w:styleId="IntenseQuote">
    <w:name w:val="Intense Quote"/>
    <w:basedOn w:val="Normal"/>
    <w:next w:val="Normal"/>
    <w:link w:val="IntenseQuoteChar"/>
    <w:uiPriority w:val="30"/>
    <w:qFormat/>
    <w:rsid w:val="00977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350"/>
    <w:rPr>
      <w:i/>
      <w:iCs/>
      <w:color w:val="0F4761" w:themeColor="accent1" w:themeShade="BF"/>
    </w:rPr>
  </w:style>
  <w:style w:type="character" w:styleId="IntenseReference">
    <w:name w:val="Intense Reference"/>
    <w:basedOn w:val="DefaultParagraphFont"/>
    <w:uiPriority w:val="32"/>
    <w:qFormat/>
    <w:rsid w:val="00977350"/>
    <w:rPr>
      <w:b/>
      <w:bCs/>
      <w:smallCaps/>
      <w:color w:val="0F4761" w:themeColor="accent1" w:themeShade="BF"/>
      <w:spacing w:val="5"/>
    </w:rPr>
  </w:style>
  <w:style w:type="character" w:styleId="Hyperlink">
    <w:name w:val="Hyperlink"/>
    <w:basedOn w:val="DefaultParagraphFont"/>
    <w:uiPriority w:val="99"/>
    <w:unhideWhenUsed/>
    <w:rsid w:val="00977350"/>
    <w:rPr>
      <w:color w:val="467886" w:themeColor="hyperlink"/>
      <w:u w:val="single"/>
    </w:rPr>
  </w:style>
  <w:style w:type="character" w:styleId="UnresolvedMention">
    <w:name w:val="Unresolved Mention"/>
    <w:basedOn w:val="DefaultParagraphFont"/>
    <w:uiPriority w:val="99"/>
    <w:semiHidden/>
    <w:unhideWhenUsed/>
    <w:rsid w:val="00977350"/>
    <w:rPr>
      <w:color w:val="605E5C"/>
      <w:shd w:val="clear" w:color="auto" w:fill="E1DFDD"/>
    </w:rPr>
  </w:style>
  <w:style w:type="paragraph" w:styleId="Header">
    <w:name w:val="header"/>
    <w:basedOn w:val="Normal"/>
    <w:link w:val="HeaderChar"/>
    <w:uiPriority w:val="99"/>
    <w:unhideWhenUsed/>
    <w:rsid w:val="009773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350"/>
  </w:style>
  <w:style w:type="paragraph" w:styleId="Footer">
    <w:name w:val="footer"/>
    <w:basedOn w:val="Normal"/>
    <w:link w:val="FooterChar"/>
    <w:uiPriority w:val="99"/>
    <w:unhideWhenUsed/>
    <w:rsid w:val="009773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350"/>
  </w:style>
  <w:style w:type="paragraph" w:styleId="NormalWeb">
    <w:name w:val="Normal (Web)"/>
    <w:basedOn w:val="Normal"/>
    <w:uiPriority w:val="99"/>
    <w:semiHidden/>
    <w:unhideWhenUsed/>
    <w:rsid w:val="00057115"/>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table" w:styleId="TableGrid">
    <w:name w:val="Table Grid"/>
    <w:basedOn w:val="TableNormal"/>
    <w:uiPriority w:val="39"/>
    <w:rsid w:val="00082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ruraldelivery.net.nz/posts/Te-Hou-Farm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2172</Words>
  <Characters>12385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3</cp:revision>
  <dcterms:created xsi:type="dcterms:W3CDTF">2026-08-16T20:07:00Z</dcterms:created>
  <dcterms:modified xsi:type="dcterms:W3CDTF">2026-08-16T20:56:00Z</dcterms:modified>
</cp:coreProperties>
</file>