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7D980" w14:textId="764A4B67" w:rsidR="00E95A5F" w:rsidRPr="00987FD7" w:rsidRDefault="00E95A5F" w:rsidP="00987FD7">
      <w:pPr>
        <w:jc w:val="center"/>
        <w:rPr>
          <w:b/>
          <w:bCs/>
          <w:sz w:val="28"/>
          <w:szCs w:val="28"/>
        </w:rPr>
      </w:pPr>
      <w:r w:rsidRPr="00987FD7">
        <w:rPr>
          <w:b/>
          <w:bCs/>
          <w:sz w:val="28"/>
          <w:szCs w:val="28"/>
        </w:rPr>
        <w:t>Untapped Māori land has huge agri potential</w:t>
      </w:r>
    </w:p>
    <w:p w14:paraId="2BDBECA4" w14:textId="77777777" w:rsidR="00987FD7" w:rsidRDefault="00987FD7"/>
    <w:p w14:paraId="2F122333" w14:textId="63372334" w:rsidR="00987FD7" w:rsidRPr="00985E8C" w:rsidRDefault="00987FD7" w:rsidP="00987FD7">
      <w:r>
        <w:t xml:space="preserve">Read the </w:t>
      </w:r>
      <w:r w:rsidR="00183F97">
        <w:t xml:space="preserve">short </w:t>
      </w:r>
      <w:r>
        <w:t>article below and</w:t>
      </w:r>
      <w:r>
        <w:t xml:space="preserve"> listen to the podcast </w:t>
      </w:r>
      <w:hyperlink r:id="rId7" w:tgtFrame="_blank" w:history="1">
        <w:r w:rsidR="000B6EDB" w:rsidRPr="00987FD7">
          <w:rPr>
            <w:rStyle w:val="Hyperlink"/>
          </w:rPr>
          <w:t>Charles Taituha - Making calculated land-</w:t>
        </w:r>
        <w:r w:rsidR="000B6EDB" w:rsidRPr="00987FD7">
          <w:rPr>
            <w:rStyle w:val="Hyperlink"/>
          </w:rPr>
          <w:t>u</w:t>
        </w:r>
        <w:r w:rsidR="000B6EDB" w:rsidRPr="00987FD7">
          <w:rPr>
            <w:rStyle w:val="Hyperlink"/>
          </w:rPr>
          <w:t>se diversification risks in Māori agribusiness</w:t>
        </w:r>
      </w:hyperlink>
      <w:r>
        <w:t xml:space="preserve"> and </w:t>
      </w:r>
      <w:r w:rsidRPr="00985E8C">
        <w:t>the</w:t>
      </w:r>
      <w:r>
        <w:t>n</w:t>
      </w:r>
      <w:r w:rsidRPr="00985E8C">
        <w:t xml:space="preserve"> answer the following questions.</w:t>
      </w:r>
    </w:p>
    <w:p w14:paraId="156DB014" w14:textId="77777777" w:rsidR="00183F97" w:rsidRDefault="00183F97" w:rsidP="00183F97">
      <w:pPr>
        <w:rPr>
          <w:b/>
          <w:bCs/>
        </w:rPr>
      </w:pPr>
    </w:p>
    <w:p w14:paraId="03378D4F" w14:textId="53ABA40F" w:rsidR="00183F97" w:rsidRPr="00BF176B" w:rsidRDefault="00183F97" w:rsidP="00183F97">
      <w:r>
        <w:rPr>
          <w:b/>
          <w:bCs/>
        </w:rPr>
        <w:t>Questions.</w:t>
      </w:r>
    </w:p>
    <w:p w14:paraId="0534CFC4" w14:textId="77777777" w:rsidR="00183F97" w:rsidRDefault="00183F97" w:rsidP="00183F97">
      <w:pPr>
        <w:pStyle w:val="ListParagraph"/>
        <w:numPr>
          <w:ilvl w:val="0"/>
          <w:numId w:val="8"/>
        </w:numPr>
      </w:pPr>
      <w:r w:rsidRPr="00987FD7">
        <w:t>What is the scale of untapped potential within Māori freehold land according to Beef + Lamb New Zealand?</w:t>
      </w:r>
    </w:p>
    <w:p w14:paraId="75F900D5" w14:textId="77777777" w:rsidR="00183F97" w:rsidRPr="00987FD7" w:rsidRDefault="00183F97" w:rsidP="00183F97">
      <w:pPr>
        <w:pStyle w:val="ListParagraph"/>
        <w:ind w:left="360"/>
      </w:pPr>
    </w:p>
    <w:p w14:paraId="52DCDF12" w14:textId="51EB8161" w:rsidR="00183F97" w:rsidRDefault="00183F97" w:rsidP="00183F97">
      <w:pPr>
        <w:pStyle w:val="ListParagraph"/>
        <w:numPr>
          <w:ilvl w:val="0"/>
          <w:numId w:val="8"/>
        </w:numPr>
      </w:pPr>
      <w:r w:rsidRPr="00987FD7">
        <w:t>What specific strategies are highlighted for future growth and diversification in Māori agribusiness?</w:t>
      </w:r>
    </w:p>
    <w:p w14:paraId="62376E81" w14:textId="77777777" w:rsidR="00183F97" w:rsidRDefault="00183F97" w:rsidP="00183F97">
      <w:pPr>
        <w:pStyle w:val="ListParagraph"/>
      </w:pPr>
    </w:p>
    <w:p w14:paraId="2FA81C0B" w14:textId="52AD3949" w:rsidR="00183F97" w:rsidRDefault="00183F97" w:rsidP="00183F97">
      <w:pPr>
        <w:pStyle w:val="ListParagraph"/>
        <w:numPr>
          <w:ilvl w:val="0"/>
          <w:numId w:val="8"/>
        </w:numPr>
      </w:pPr>
      <w:r w:rsidRPr="00987FD7">
        <w:t>What are the two primary organi</w:t>
      </w:r>
      <w:r>
        <w:t>s</w:t>
      </w:r>
      <w:r w:rsidRPr="00987FD7">
        <w:t>ational structures that govern Māori agribusiness, and how do they differ?</w:t>
      </w:r>
    </w:p>
    <w:p w14:paraId="72F7D52C" w14:textId="77777777" w:rsidR="00183F97" w:rsidRDefault="00183F97" w:rsidP="00183F97">
      <w:pPr>
        <w:pStyle w:val="ListParagraph"/>
      </w:pPr>
    </w:p>
    <w:p w14:paraId="3FF7D696" w14:textId="11F94FC6" w:rsidR="00183F97" w:rsidRDefault="00183F97" w:rsidP="00183F97">
      <w:pPr>
        <w:pStyle w:val="ListParagraph"/>
        <w:numPr>
          <w:ilvl w:val="0"/>
          <w:numId w:val="8"/>
        </w:numPr>
      </w:pPr>
      <w:r w:rsidRPr="00987FD7">
        <w:t>How do the legal requirements of the Te Ture Whenua Māori Act influence decision-making for land block entities?</w:t>
      </w:r>
    </w:p>
    <w:p w14:paraId="6D9192FF" w14:textId="77777777" w:rsidR="00183F97" w:rsidRDefault="00183F97" w:rsidP="00183F97">
      <w:pPr>
        <w:pStyle w:val="ListParagraph"/>
      </w:pPr>
    </w:p>
    <w:p w14:paraId="2D436CDB" w14:textId="7795A2D7" w:rsidR="00183F97" w:rsidRDefault="00183F97" w:rsidP="00183F97">
      <w:pPr>
        <w:pStyle w:val="ListParagraph"/>
        <w:numPr>
          <w:ilvl w:val="0"/>
          <w:numId w:val="8"/>
        </w:numPr>
      </w:pPr>
      <w:r w:rsidRPr="000B6EDB">
        <w:t>What is the overall financial footprint of Māori entities in the primary sector?</w:t>
      </w:r>
    </w:p>
    <w:p w14:paraId="056CDEB3" w14:textId="77777777" w:rsidR="00183F97" w:rsidRDefault="00183F97" w:rsidP="00183F97">
      <w:pPr>
        <w:pStyle w:val="ListParagraph"/>
      </w:pPr>
    </w:p>
    <w:p w14:paraId="69DEBD79" w14:textId="78151D62" w:rsidR="00183F97" w:rsidRDefault="00183F97" w:rsidP="00183F97">
      <w:pPr>
        <w:pStyle w:val="ListParagraph"/>
        <w:numPr>
          <w:ilvl w:val="0"/>
          <w:numId w:val="8"/>
        </w:numPr>
      </w:pPr>
      <w:r w:rsidRPr="000B6EDB">
        <w:t>How does the governance of Māori freehold land impact access to traditional banking capital?</w:t>
      </w:r>
    </w:p>
    <w:p w14:paraId="1C1FD6BB" w14:textId="77777777" w:rsidR="00183F97" w:rsidRDefault="00183F97" w:rsidP="00183F97">
      <w:pPr>
        <w:pStyle w:val="ListParagraph"/>
      </w:pPr>
    </w:p>
    <w:p w14:paraId="2117CBD6" w14:textId="77777777" w:rsidR="00183F97" w:rsidRDefault="00183F97" w:rsidP="00183F97">
      <w:pPr>
        <w:pStyle w:val="ListParagraph"/>
        <w:numPr>
          <w:ilvl w:val="0"/>
          <w:numId w:val="8"/>
        </w:numPr>
      </w:pPr>
      <w:r w:rsidRPr="000B6EDB">
        <w:t>How do typical Māori agribusiness ownership structures differ from standard New Zealand family farming models?</w:t>
      </w:r>
    </w:p>
    <w:p w14:paraId="70F74717" w14:textId="77777777" w:rsidR="00183F97" w:rsidRDefault="00183F97" w:rsidP="00183F97">
      <w:pPr>
        <w:pStyle w:val="ListParagraph"/>
      </w:pPr>
    </w:p>
    <w:p w14:paraId="44F13564" w14:textId="3D9C6252" w:rsidR="00183F97" w:rsidRDefault="00183F97" w:rsidP="00183F97">
      <w:pPr>
        <w:pStyle w:val="ListParagraph"/>
        <w:numPr>
          <w:ilvl w:val="0"/>
          <w:numId w:val="8"/>
        </w:numPr>
      </w:pPr>
      <w:r w:rsidRPr="000B6EDB">
        <w:t>How does the restriction on selling land impact equity investment models for Māori agribusinesses?</w:t>
      </w:r>
    </w:p>
    <w:p w14:paraId="0E44F723" w14:textId="77777777" w:rsidR="00183F97" w:rsidRDefault="00183F97" w:rsidP="00183F97">
      <w:pPr>
        <w:pStyle w:val="ListParagraph"/>
      </w:pPr>
    </w:p>
    <w:p w14:paraId="749A0FF9" w14:textId="77777777" w:rsidR="00183F97" w:rsidRDefault="00183F97" w:rsidP="00183F97">
      <w:pPr>
        <w:pStyle w:val="ListParagraph"/>
        <w:numPr>
          <w:ilvl w:val="0"/>
          <w:numId w:val="8"/>
        </w:numPr>
      </w:pPr>
      <w:r w:rsidRPr="000B6EDB">
        <w:t>What unique governance challenges do these collective structures create for managers and trustees?</w:t>
      </w:r>
    </w:p>
    <w:p w14:paraId="2F05ABB4" w14:textId="77777777" w:rsidR="00183F97" w:rsidRDefault="00183F97" w:rsidP="00183F97">
      <w:pPr>
        <w:pStyle w:val="ListParagraph"/>
      </w:pPr>
    </w:p>
    <w:p w14:paraId="65FE87C9" w14:textId="1F368D36" w:rsidR="00183F97" w:rsidRDefault="00183F97" w:rsidP="00183F97">
      <w:pPr>
        <w:pStyle w:val="ListParagraph"/>
        <w:numPr>
          <w:ilvl w:val="0"/>
          <w:numId w:val="8"/>
        </w:numPr>
      </w:pPr>
      <w:r w:rsidRPr="00DD3BDB">
        <w:t>What alternative financing mechanisms are being explored to support Māori agribusiness expansion and land diversification?</w:t>
      </w:r>
    </w:p>
    <w:p w14:paraId="4092174A" w14:textId="6AC42E77" w:rsidR="00987FD7" w:rsidRDefault="00987FD7">
      <w:pPr>
        <w:rPr>
          <w:b/>
          <w:bCs/>
          <w:sz w:val="28"/>
          <w:szCs w:val="28"/>
        </w:rPr>
      </w:pPr>
    </w:p>
    <w:p w14:paraId="169D8CBD" w14:textId="77777777" w:rsidR="00183F97" w:rsidRDefault="00183F97">
      <w:pPr>
        <w:rPr>
          <w:b/>
          <w:bCs/>
          <w:sz w:val="28"/>
          <w:szCs w:val="28"/>
        </w:rPr>
      </w:pPr>
      <w:r>
        <w:rPr>
          <w:b/>
          <w:bCs/>
          <w:sz w:val="28"/>
          <w:szCs w:val="28"/>
        </w:rPr>
        <w:br w:type="page"/>
      </w:r>
    </w:p>
    <w:p w14:paraId="5B1EB11D" w14:textId="70AC21E7" w:rsidR="00987FD7" w:rsidRPr="00987FD7" w:rsidRDefault="00987FD7" w:rsidP="00987FD7">
      <w:pPr>
        <w:jc w:val="center"/>
        <w:rPr>
          <w:b/>
          <w:bCs/>
          <w:sz w:val="28"/>
          <w:szCs w:val="28"/>
        </w:rPr>
      </w:pPr>
      <w:r w:rsidRPr="00987FD7">
        <w:rPr>
          <w:b/>
          <w:bCs/>
          <w:sz w:val="28"/>
          <w:szCs w:val="28"/>
        </w:rPr>
        <w:lastRenderedPageBreak/>
        <w:t>Untapped Māori land has huge agri potential</w:t>
      </w:r>
    </w:p>
    <w:p w14:paraId="4F431C4C" w14:textId="77777777" w:rsidR="00E95A5F" w:rsidRDefault="00E95A5F"/>
    <w:p w14:paraId="2FD13517" w14:textId="24D6A0F7" w:rsidR="002D76AE" w:rsidRDefault="00E95A5F">
      <w:r w:rsidRPr="00E95A5F">
        <w:t xml:space="preserve">There’s untapped potential to optimise use of the 1.7 million hectares of </w:t>
      </w:r>
      <w:r w:rsidRPr="00E95A5F">
        <w:t>Māori freehold</w:t>
      </w:r>
      <w:r w:rsidRPr="00E95A5F">
        <w:t xml:space="preserve"> land, including the 650,000ha currently in pasture, B</w:t>
      </w:r>
      <w:r w:rsidR="000B6EDB">
        <w:t>eef+</w:t>
      </w:r>
      <w:r w:rsidRPr="00E95A5F">
        <w:t>L</w:t>
      </w:r>
      <w:r w:rsidR="000B6EDB">
        <w:t>amb</w:t>
      </w:r>
      <w:r w:rsidRPr="00E95A5F">
        <w:t xml:space="preserve">NZ general manager Māori Agribusiness Charles Taituha says.  At the Institute of Rural Professionals National Conference, he </w:t>
      </w:r>
      <w:r w:rsidRPr="00E95A5F">
        <w:t>said future</w:t>
      </w:r>
      <w:r w:rsidRPr="00E95A5F">
        <w:t xml:space="preserve"> growth could involve diversification through forestry, off-farm investments and from </w:t>
      </w:r>
      <w:r w:rsidRPr="00E95A5F">
        <w:t>transforming Gisborne</w:t>
      </w:r>
      <w:r w:rsidRPr="00E95A5F">
        <w:t xml:space="preserve"> hill-country and the Central Plateau into high-performing sheep and beef farms. “One of the biggest things I see for Māori agribusiness is that we’re diversifying. </w:t>
      </w:r>
      <w:r w:rsidRPr="00E95A5F">
        <w:t>It might</w:t>
      </w:r>
      <w:r w:rsidRPr="00E95A5F">
        <w:t xml:space="preserve"> look quite slow sometimes, but it’s every calculated. I think we’re seeing more people take slightly more risk, doing things a little bit smarter, and joining collectively with others.”  He said understanding Māori agribusiness required distinguishing between the two structures responsible for overseeing agribusiness: post-settlement entities like Waitangi Tribunal or Tainui Group Holdings, and </w:t>
      </w:r>
      <w:r w:rsidR="00987FD7" w:rsidRPr="00E95A5F">
        <w:t>Māori freehold</w:t>
      </w:r>
      <w:r w:rsidRPr="00E95A5F">
        <w:t xml:space="preserve"> land blocks governed by the Te Ture Whenua Māori Act, underpinned by legislation that had to be followed before decisions were made.  Collectively, Māori owned $39.7 billion in agriculture, forestry and fishing assets as of 2025. </w:t>
      </w:r>
    </w:p>
    <w:p w14:paraId="25DC19CE" w14:textId="77777777" w:rsidR="00987FD7" w:rsidRDefault="00987FD7"/>
    <w:p w14:paraId="1DE18745" w14:textId="77777777" w:rsidR="00987FD7" w:rsidRDefault="00987FD7">
      <w:pPr>
        <w:rPr>
          <w:b/>
          <w:bCs/>
        </w:rPr>
      </w:pPr>
      <w:r>
        <w:rPr>
          <w:b/>
          <w:bCs/>
        </w:rPr>
        <w:br w:type="page"/>
      </w:r>
    </w:p>
    <w:p w14:paraId="35DC58E2" w14:textId="55685068" w:rsidR="00987FD7" w:rsidRPr="00BF176B" w:rsidRDefault="00987FD7" w:rsidP="00987FD7">
      <w:r w:rsidRPr="00BF176B">
        <w:rPr>
          <w:b/>
          <w:bCs/>
        </w:rPr>
        <w:lastRenderedPageBreak/>
        <w:t>Answer</w:t>
      </w:r>
      <w:r>
        <w:rPr>
          <w:b/>
          <w:bCs/>
        </w:rPr>
        <w:t>s.</w:t>
      </w:r>
    </w:p>
    <w:p w14:paraId="1F041800" w14:textId="62D00A60" w:rsidR="00987FD7" w:rsidRPr="00987FD7" w:rsidRDefault="00987FD7" w:rsidP="00183F97">
      <w:pPr>
        <w:pStyle w:val="ListParagraph"/>
        <w:numPr>
          <w:ilvl w:val="0"/>
          <w:numId w:val="10"/>
        </w:numPr>
      </w:pPr>
      <w:r w:rsidRPr="00987FD7">
        <w:t>What is the scale of untapped potential within Māori freehold land according to Beef + Lamb New Zealand?</w:t>
      </w:r>
    </w:p>
    <w:p w14:paraId="19A47457" w14:textId="77777777" w:rsidR="00987FD7" w:rsidRDefault="00987FD7" w:rsidP="00987FD7">
      <w:pPr>
        <w:ind w:left="360"/>
        <w:rPr>
          <w:i/>
          <w:iCs/>
        </w:rPr>
      </w:pPr>
      <w:r w:rsidRPr="00987FD7">
        <w:rPr>
          <w:i/>
          <w:iCs/>
        </w:rPr>
        <w:t xml:space="preserve">There are 1.7 million hectares of Māori freehold land in total, representing a massive opportunity for optimization. This includes roughly 650,000 hectares currently used for pasture. </w:t>
      </w:r>
    </w:p>
    <w:p w14:paraId="24DC5F8E" w14:textId="77777777" w:rsidR="00987FD7" w:rsidRPr="00987FD7" w:rsidRDefault="00987FD7" w:rsidP="00987FD7">
      <w:pPr>
        <w:ind w:left="360"/>
        <w:rPr>
          <w:i/>
          <w:iCs/>
        </w:rPr>
      </w:pPr>
    </w:p>
    <w:p w14:paraId="550FE5E0" w14:textId="6B93142B" w:rsidR="00987FD7" w:rsidRPr="00987FD7" w:rsidRDefault="00987FD7" w:rsidP="00183F97">
      <w:pPr>
        <w:pStyle w:val="ListParagraph"/>
        <w:numPr>
          <w:ilvl w:val="0"/>
          <w:numId w:val="10"/>
        </w:numPr>
      </w:pPr>
      <w:r w:rsidRPr="00987FD7">
        <w:t>What specific strategies are highlighted for future growth and diversification in Māori agribusiness?</w:t>
      </w:r>
    </w:p>
    <w:p w14:paraId="41BE405D" w14:textId="77777777" w:rsidR="00987FD7" w:rsidRPr="00987FD7" w:rsidRDefault="00987FD7" w:rsidP="00987FD7">
      <w:pPr>
        <w:ind w:left="360"/>
        <w:rPr>
          <w:i/>
          <w:iCs/>
        </w:rPr>
      </w:pPr>
      <w:r w:rsidRPr="00987FD7">
        <w:rPr>
          <w:i/>
          <w:iCs/>
        </w:rPr>
        <w:t>Future growth relies on taking calculated risks, acting strategically, and forming collective partnerships. Primary pathways include:</w:t>
      </w:r>
    </w:p>
    <w:p w14:paraId="3AB815FD" w14:textId="77777777" w:rsidR="00987FD7" w:rsidRPr="00987FD7" w:rsidRDefault="00987FD7" w:rsidP="00987FD7">
      <w:pPr>
        <w:numPr>
          <w:ilvl w:val="0"/>
          <w:numId w:val="6"/>
        </w:numPr>
        <w:rPr>
          <w:i/>
          <w:iCs/>
        </w:rPr>
      </w:pPr>
      <w:r w:rsidRPr="00987FD7">
        <w:rPr>
          <w:i/>
          <w:iCs/>
        </w:rPr>
        <w:t>Diversification: Expanding into forestry and off-farm investments.</w:t>
      </w:r>
    </w:p>
    <w:p w14:paraId="43305B75" w14:textId="77777777" w:rsidR="00987FD7" w:rsidRPr="00987FD7" w:rsidRDefault="00987FD7" w:rsidP="00987FD7">
      <w:pPr>
        <w:numPr>
          <w:ilvl w:val="0"/>
          <w:numId w:val="6"/>
        </w:numPr>
        <w:rPr>
          <w:i/>
          <w:iCs/>
        </w:rPr>
      </w:pPr>
      <w:r w:rsidRPr="00987FD7">
        <w:rPr>
          <w:i/>
          <w:iCs/>
        </w:rPr>
        <w:t>Land Transformation: Converting lower-performing areas—specifically the Gisborne hill-country and the Central Plateau—into high-performing sheep and beef operations.</w:t>
      </w:r>
    </w:p>
    <w:p w14:paraId="31317B76" w14:textId="77777777" w:rsidR="00987FD7" w:rsidRDefault="00987FD7" w:rsidP="00987FD7">
      <w:pPr>
        <w:numPr>
          <w:ilvl w:val="0"/>
          <w:numId w:val="6"/>
        </w:numPr>
        <w:rPr>
          <w:i/>
          <w:iCs/>
        </w:rPr>
      </w:pPr>
      <w:r w:rsidRPr="00987FD7">
        <w:rPr>
          <w:i/>
          <w:iCs/>
        </w:rPr>
        <w:t>Collective Operations: Joining forces with other land blocks and entities to achieve scale and efficiency.</w:t>
      </w:r>
    </w:p>
    <w:p w14:paraId="0341D578" w14:textId="77777777" w:rsidR="00987FD7" w:rsidRPr="00987FD7" w:rsidRDefault="00987FD7" w:rsidP="00987FD7">
      <w:pPr>
        <w:ind w:left="720"/>
        <w:rPr>
          <w:i/>
          <w:iCs/>
        </w:rPr>
      </w:pPr>
    </w:p>
    <w:p w14:paraId="661E5A35" w14:textId="17F50AA5" w:rsidR="00987FD7" w:rsidRPr="00987FD7" w:rsidRDefault="00987FD7" w:rsidP="00183F97">
      <w:pPr>
        <w:pStyle w:val="ListParagraph"/>
        <w:numPr>
          <w:ilvl w:val="0"/>
          <w:numId w:val="10"/>
        </w:numPr>
      </w:pPr>
      <w:r w:rsidRPr="00987FD7">
        <w:t>What are the two primary organi</w:t>
      </w:r>
      <w:r>
        <w:t>s</w:t>
      </w:r>
      <w:r w:rsidRPr="00987FD7">
        <w:t>ational structures that govern Māori agribusiness, and how do they differ?</w:t>
      </w:r>
    </w:p>
    <w:p w14:paraId="441DD25B" w14:textId="77777777" w:rsidR="00987FD7" w:rsidRPr="00987FD7" w:rsidRDefault="00987FD7" w:rsidP="00987FD7">
      <w:pPr>
        <w:ind w:left="360"/>
        <w:rPr>
          <w:i/>
          <w:iCs/>
        </w:rPr>
      </w:pPr>
      <w:r w:rsidRPr="00987FD7">
        <w:rPr>
          <w:i/>
          <w:iCs/>
        </w:rPr>
        <w:t>Charles Taituha highlights a clear distinction between two types of governance entities:</w:t>
      </w:r>
    </w:p>
    <w:p w14:paraId="471BCBD8" w14:textId="77777777" w:rsidR="00987FD7" w:rsidRPr="00987FD7" w:rsidRDefault="00987FD7" w:rsidP="00987FD7">
      <w:pPr>
        <w:numPr>
          <w:ilvl w:val="0"/>
          <w:numId w:val="9"/>
        </w:numPr>
        <w:rPr>
          <w:i/>
          <w:iCs/>
        </w:rPr>
      </w:pPr>
      <w:r w:rsidRPr="00987FD7">
        <w:rPr>
          <w:i/>
          <w:iCs/>
        </w:rPr>
        <w:t>Post-Settlement Governance Entities (PSGEs): Commercial corporate entities established following Waitangi Tribunal settlements (e.g., Tainui Group Holdings) that manage settled assets.</w:t>
      </w:r>
    </w:p>
    <w:p w14:paraId="1067EEB2" w14:textId="77777777" w:rsidR="00987FD7" w:rsidRDefault="00987FD7" w:rsidP="00987FD7">
      <w:pPr>
        <w:numPr>
          <w:ilvl w:val="0"/>
          <w:numId w:val="9"/>
        </w:numPr>
        <w:rPr>
          <w:i/>
          <w:iCs/>
        </w:rPr>
      </w:pPr>
      <w:r w:rsidRPr="00987FD7">
        <w:rPr>
          <w:i/>
          <w:iCs/>
        </w:rPr>
        <w:t>Māori Freehold Land Blocks: Land trusts and incorporations governed specifically under the Te Ture Whenua Māori Act. These entities must follow strict legislative processes and threshold requirements before making operational or investment decisions regarding the land.</w:t>
      </w:r>
    </w:p>
    <w:p w14:paraId="71467226" w14:textId="77777777" w:rsidR="000B6EDB" w:rsidRPr="00987FD7" w:rsidRDefault="000B6EDB" w:rsidP="000B6EDB">
      <w:pPr>
        <w:ind w:left="720"/>
        <w:rPr>
          <w:i/>
          <w:iCs/>
        </w:rPr>
      </w:pPr>
    </w:p>
    <w:p w14:paraId="7E3CD23D" w14:textId="259AC82E" w:rsidR="00987FD7" w:rsidRPr="00987FD7" w:rsidRDefault="00987FD7" w:rsidP="00183F97">
      <w:pPr>
        <w:pStyle w:val="ListParagraph"/>
        <w:numPr>
          <w:ilvl w:val="0"/>
          <w:numId w:val="10"/>
        </w:numPr>
      </w:pPr>
      <w:r w:rsidRPr="00987FD7">
        <w:t>How do the legal requirements of the Te Ture Whenua Māori Act influence decision-making for land block entities?</w:t>
      </w:r>
    </w:p>
    <w:p w14:paraId="703FC0F9" w14:textId="77777777" w:rsidR="00987FD7" w:rsidRPr="000B6EDB" w:rsidRDefault="00987FD7" w:rsidP="000B6EDB">
      <w:pPr>
        <w:ind w:left="360"/>
        <w:rPr>
          <w:i/>
          <w:iCs/>
        </w:rPr>
      </w:pPr>
      <w:r w:rsidRPr="000B6EDB">
        <w:rPr>
          <w:i/>
          <w:iCs/>
        </w:rPr>
        <w:lastRenderedPageBreak/>
        <w:t>Because Te Ture Whenua Māori land block decisions are bound by legislative processes, decision-making can move more deliberately compared to standard private enterprises. Trustees must comply with legal governance protocols, owner consensus steps, and court guidelines before undertaking major operational changes or land developments.</w:t>
      </w:r>
    </w:p>
    <w:p w14:paraId="2088701E" w14:textId="77777777" w:rsidR="000B6EDB" w:rsidRDefault="000B6EDB" w:rsidP="00987FD7">
      <w:pPr>
        <w:rPr>
          <w:b/>
          <w:bCs/>
        </w:rPr>
      </w:pPr>
    </w:p>
    <w:p w14:paraId="648B92A0" w14:textId="3CB13413" w:rsidR="00987FD7" w:rsidRPr="000B6EDB" w:rsidRDefault="00987FD7" w:rsidP="00183F97">
      <w:pPr>
        <w:pStyle w:val="ListParagraph"/>
        <w:numPr>
          <w:ilvl w:val="0"/>
          <w:numId w:val="10"/>
        </w:numPr>
      </w:pPr>
      <w:r w:rsidRPr="000B6EDB">
        <w:t>What is the overall financial footprint of Māori entities in the primary sector?</w:t>
      </w:r>
    </w:p>
    <w:p w14:paraId="5D12928F" w14:textId="77777777" w:rsidR="00987FD7" w:rsidRDefault="00987FD7" w:rsidP="000B6EDB">
      <w:pPr>
        <w:ind w:left="360"/>
        <w:rPr>
          <w:i/>
          <w:iCs/>
        </w:rPr>
      </w:pPr>
      <w:r w:rsidRPr="000B6EDB">
        <w:rPr>
          <w:i/>
          <w:iCs/>
        </w:rPr>
        <w:t>Collectively, Māori entities hold $39.7 billion in assets across agriculture, forestry, and fishing as of 2025.</w:t>
      </w:r>
    </w:p>
    <w:p w14:paraId="4B8B25B2" w14:textId="77777777" w:rsidR="000B6EDB" w:rsidRPr="000B6EDB" w:rsidRDefault="000B6EDB" w:rsidP="000B6EDB">
      <w:pPr>
        <w:ind w:left="360"/>
        <w:rPr>
          <w:i/>
          <w:iCs/>
        </w:rPr>
      </w:pPr>
    </w:p>
    <w:p w14:paraId="2C8D67BE" w14:textId="18ADD768" w:rsidR="00987FD7" w:rsidRPr="000B6EDB" w:rsidRDefault="00987FD7" w:rsidP="00183F97">
      <w:pPr>
        <w:pStyle w:val="ListParagraph"/>
        <w:numPr>
          <w:ilvl w:val="0"/>
          <w:numId w:val="10"/>
        </w:numPr>
      </w:pPr>
      <w:r w:rsidRPr="000B6EDB">
        <w:t>How does the governance of Māori freehold land impact access to traditional banking capital?</w:t>
      </w:r>
    </w:p>
    <w:p w14:paraId="54791870" w14:textId="6EADCEF4" w:rsidR="00987FD7" w:rsidRPr="000B6EDB" w:rsidRDefault="000B6EDB" w:rsidP="000B6EDB">
      <w:pPr>
        <w:ind w:left="360"/>
        <w:rPr>
          <w:i/>
          <w:iCs/>
        </w:rPr>
      </w:pPr>
      <w:r>
        <w:rPr>
          <w:i/>
          <w:iCs/>
        </w:rPr>
        <w:t>T</w:t>
      </w:r>
      <w:r w:rsidR="00987FD7" w:rsidRPr="000B6EDB">
        <w:rPr>
          <w:i/>
          <w:iCs/>
        </w:rPr>
        <w:t xml:space="preserve">he legal framework of the </w:t>
      </w:r>
      <w:r w:rsidR="00987FD7" w:rsidRPr="00987FD7">
        <w:rPr>
          <w:i/>
          <w:iCs/>
        </w:rPr>
        <w:t>Te Ture Whenua Māori Act</w:t>
      </w:r>
      <w:r w:rsidR="00987FD7" w:rsidRPr="000B6EDB">
        <w:rPr>
          <w:i/>
          <w:iCs/>
        </w:rPr>
        <w:t xml:space="preserve"> protects Māori freehold land from being easily sold or alienated. Because standard bank debt financing traditionally relies on mortgaging the underlying land title as collateral, Māori land blocks face structural hurdles when securing capital from traditional lenders.</w:t>
      </w:r>
    </w:p>
    <w:p w14:paraId="44AB6FF5" w14:textId="77777777" w:rsidR="00987FD7" w:rsidRPr="000B6EDB" w:rsidRDefault="00987FD7" w:rsidP="000B6EDB">
      <w:pPr>
        <w:ind w:left="360"/>
        <w:rPr>
          <w:i/>
          <w:iCs/>
        </w:rPr>
      </w:pPr>
      <w:r w:rsidRPr="000B6EDB">
        <w:rPr>
          <w:i/>
          <w:iCs/>
        </w:rPr>
        <w:t>As a result, growth and diversification increasingly depend on collective partnerships, reinvested capital, and alternative revenue streams (like forestry and off-farm investments) rather than traditional bank debt secured against real estate.</w:t>
      </w:r>
    </w:p>
    <w:p w14:paraId="44A7AF4C" w14:textId="77777777" w:rsidR="00987FD7" w:rsidRDefault="00987FD7"/>
    <w:p w14:paraId="589490A3" w14:textId="034467D0" w:rsidR="00987FD7" w:rsidRPr="000B6EDB" w:rsidRDefault="00987FD7" w:rsidP="00183F97">
      <w:pPr>
        <w:pStyle w:val="ListParagraph"/>
        <w:numPr>
          <w:ilvl w:val="0"/>
          <w:numId w:val="10"/>
        </w:numPr>
      </w:pPr>
      <w:r w:rsidRPr="000B6EDB">
        <w:t>How do typical Māori agribusiness ownership structures differ from standard New Zealand family farming models?</w:t>
      </w:r>
    </w:p>
    <w:p w14:paraId="2E0FA39E" w14:textId="77777777" w:rsidR="00987FD7" w:rsidRPr="000B6EDB" w:rsidRDefault="00987FD7" w:rsidP="000B6EDB">
      <w:pPr>
        <w:ind w:left="360"/>
        <w:rPr>
          <w:i/>
          <w:iCs/>
        </w:rPr>
      </w:pPr>
      <w:r w:rsidRPr="000B6EDB">
        <w:rPr>
          <w:i/>
          <w:iCs/>
        </w:rPr>
        <w:t>Standard New Zealand farms are typically owned by individuals, couples, or private family trusts operating under single-family decision-making structures. In contrast, Māori agribusinesses often operate under collective ownership models governed by specific legislative frameworks:</w:t>
      </w:r>
    </w:p>
    <w:p w14:paraId="2904B001" w14:textId="0F37C6D2" w:rsidR="00987FD7" w:rsidRPr="000B6EDB" w:rsidRDefault="00987FD7" w:rsidP="000B6EDB">
      <w:pPr>
        <w:numPr>
          <w:ilvl w:val="0"/>
          <w:numId w:val="6"/>
        </w:numPr>
        <w:rPr>
          <w:i/>
          <w:iCs/>
        </w:rPr>
      </w:pPr>
      <w:r w:rsidRPr="000B6EDB">
        <w:rPr>
          <w:i/>
          <w:iCs/>
        </w:rPr>
        <w:t xml:space="preserve">Māori Land Trusts </w:t>
      </w:r>
      <w:r w:rsidR="000B6EDB">
        <w:rPr>
          <w:i/>
          <w:iCs/>
        </w:rPr>
        <w:t xml:space="preserve">and </w:t>
      </w:r>
      <w:r w:rsidRPr="000B6EDB">
        <w:rPr>
          <w:i/>
          <w:iCs/>
        </w:rPr>
        <w:t xml:space="preserve">Incorporations: Governed under </w:t>
      </w:r>
      <w:r w:rsidRPr="00987FD7">
        <w:rPr>
          <w:i/>
          <w:iCs/>
        </w:rPr>
        <w:t>Te Ture Whenua Māori Act 1993</w:t>
      </w:r>
      <w:r w:rsidRPr="000B6EDB">
        <w:rPr>
          <w:i/>
          <w:iCs/>
        </w:rPr>
        <w:t>, these entities aggregate small, undivided shares owned by hundreds—or even thousands—of whānau members (beneficiaries).</w:t>
      </w:r>
    </w:p>
    <w:p w14:paraId="33E0D468" w14:textId="30BCBB3B" w:rsidR="00987FD7" w:rsidRPr="000B6EDB" w:rsidRDefault="00987FD7" w:rsidP="000B6EDB">
      <w:pPr>
        <w:numPr>
          <w:ilvl w:val="0"/>
          <w:numId w:val="6"/>
        </w:numPr>
        <w:rPr>
          <w:i/>
          <w:iCs/>
        </w:rPr>
      </w:pPr>
      <w:r w:rsidRPr="000B6EDB">
        <w:rPr>
          <w:i/>
          <w:iCs/>
        </w:rPr>
        <w:t xml:space="preserve">Iwi </w:t>
      </w:r>
      <w:r w:rsidR="000B6EDB">
        <w:rPr>
          <w:i/>
          <w:iCs/>
        </w:rPr>
        <w:t>and</w:t>
      </w:r>
      <w:r w:rsidRPr="000B6EDB">
        <w:rPr>
          <w:i/>
          <w:iCs/>
        </w:rPr>
        <w:t xml:space="preserve"> Hapū Commercial Entities: Governed as corporate post-settlement governance entities (PSGEs) or commercial arms (e.g., Iwi Investment Boards).</w:t>
      </w:r>
    </w:p>
    <w:p w14:paraId="53415C8B" w14:textId="5AAD15DF" w:rsidR="00987FD7" w:rsidRPr="000B6EDB" w:rsidRDefault="00987FD7" w:rsidP="000B6EDB">
      <w:pPr>
        <w:numPr>
          <w:ilvl w:val="0"/>
          <w:numId w:val="6"/>
        </w:numPr>
        <w:rPr>
          <w:i/>
          <w:iCs/>
        </w:rPr>
      </w:pPr>
      <w:r w:rsidRPr="000B6EDB">
        <w:rPr>
          <w:i/>
          <w:iCs/>
        </w:rPr>
        <w:t>Intergenerational Mandate: Rather than prioriti</w:t>
      </w:r>
      <w:r w:rsidR="000B6EDB">
        <w:rPr>
          <w:i/>
          <w:iCs/>
        </w:rPr>
        <w:t>s</w:t>
      </w:r>
      <w:r w:rsidRPr="000B6EDB">
        <w:rPr>
          <w:i/>
          <w:iCs/>
        </w:rPr>
        <w:t>ing short-term capital growth or sale for individual equity, Māori agribusiness governance prioriti</w:t>
      </w:r>
      <w:r w:rsidR="000B6EDB">
        <w:rPr>
          <w:i/>
          <w:iCs/>
        </w:rPr>
        <w:t>s</w:t>
      </w:r>
      <w:r w:rsidRPr="000B6EDB">
        <w:rPr>
          <w:i/>
          <w:iCs/>
        </w:rPr>
        <w:t>es intergenerational stewardship (</w:t>
      </w:r>
      <w:r w:rsidRPr="00987FD7">
        <w:rPr>
          <w:i/>
          <w:iCs/>
        </w:rPr>
        <w:t>kaitiakitanga</w:t>
      </w:r>
      <w:r w:rsidRPr="000B6EDB">
        <w:rPr>
          <w:i/>
          <w:iCs/>
        </w:rPr>
        <w:t>), retaining land in perpetuity for future generations (</w:t>
      </w:r>
      <w:r w:rsidRPr="00987FD7">
        <w:rPr>
          <w:i/>
          <w:iCs/>
        </w:rPr>
        <w:t>mokopuna</w:t>
      </w:r>
      <w:r w:rsidRPr="000B6EDB">
        <w:rPr>
          <w:i/>
          <w:iCs/>
        </w:rPr>
        <w:t xml:space="preserve">). </w:t>
      </w:r>
    </w:p>
    <w:p w14:paraId="441F0D66" w14:textId="77777777" w:rsidR="00DD3BDB" w:rsidRPr="000B6EDB" w:rsidRDefault="00DD3BDB" w:rsidP="00183F97">
      <w:pPr>
        <w:pStyle w:val="ListParagraph"/>
        <w:numPr>
          <w:ilvl w:val="0"/>
          <w:numId w:val="10"/>
        </w:numPr>
      </w:pPr>
      <w:r w:rsidRPr="000B6EDB">
        <w:lastRenderedPageBreak/>
        <w:t>How does the restriction on selling land impact equity investment models for Māori agribusinesses?</w:t>
      </w:r>
    </w:p>
    <w:p w14:paraId="7651E9E7" w14:textId="77777777" w:rsidR="00DD3BDB" w:rsidRPr="000B6EDB" w:rsidRDefault="00DD3BDB" w:rsidP="00DD3BDB">
      <w:pPr>
        <w:ind w:left="360"/>
        <w:rPr>
          <w:i/>
          <w:iCs/>
        </w:rPr>
      </w:pPr>
      <w:r w:rsidRPr="000B6EDB">
        <w:rPr>
          <w:i/>
          <w:iCs/>
        </w:rPr>
        <w:t xml:space="preserve">Traditional corporate equity investment relies on investors acquiring an ownership stake in the underlying asset (the land) and having an exit strategy where the asset can be sold. Because Māori land is held in trust for future generations, standard joint-venture models where outside investors buy into land ownership are unacceptable to landowners. </w:t>
      </w:r>
    </w:p>
    <w:p w14:paraId="3F8739AE" w14:textId="77777777" w:rsidR="00DD3BDB" w:rsidRDefault="00DD3BDB" w:rsidP="00DD3BDB">
      <w:pPr>
        <w:ind w:left="360"/>
        <w:rPr>
          <w:i/>
          <w:iCs/>
        </w:rPr>
      </w:pPr>
      <w:r w:rsidRPr="000B6EDB">
        <w:rPr>
          <w:i/>
          <w:iCs/>
        </w:rPr>
        <w:t xml:space="preserve">Māori agribusinesses must instead structure joint ventures around the operating business entity (e.g., lease models, joint-venture management companies, or revenue-sharing partnerships) rather than the underlying real estate asset. </w:t>
      </w:r>
    </w:p>
    <w:p w14:paraId="545D4634" w14:textId="77777777" w:rsidR="00DD3BDB" w:rsidRPr="000B6EDB" w:rsidRDefault="00DD3BDB" w:rsidP="00DD3BDB">
      <w:pPr>
        <w:ind w:left="360"/>
        <w:rPr>
          <w:i/>
          <w:iCs/>
        </w:rPr>
      </w:pPr>
    </w:p>
    <w:p w14:paraId="0D881445" w14:textId="390296F8" w:rsidR="00987FD7" w:rsidRPr="000B6EDB" w:rsidRDefault="00987FD7" w:rsidP="00183F97">
      <w:pPr>
        <w:pStyle w:val="ListParagraph"/>
        <w:numPr>
          <w:ilvl w:val="0"/>
          <w:numId w:val="10"/>
        </w:numPr>
      </w:pPr>
      <w:r w:rsidRPr="000B6EDB">
        <w:t>What unique governance challenges do these collective structures create for managers and trustees?</w:t>
      </w:r>
    </w:p>
    <w:p w14:paraId="61053740" w14:textId="77777777" w:rsidR="00987FD7" w:rsidRPr="000B6EDB" w:rsidRDefault="00987FD7" w:rsidP="000B6EDB">
      <w:pPr>
        <w:numPr>
          <w:ilvl w:val="0"/>
          <w:numId w:val="6"/>
        </w:numPr>
        <w:rPr>
          <w:i/>
          <w:iCs/>
        </w:rPr>
      </w:pPr>
      <w:r w:rsidRPr="000B6EDB">
        <w:rPr>
          <w:i/>
          <w:iCs/>
        </w:rPr>
        <w:t xml:space="preserve">Dual Bottom Line (Commercial vs. Social/Cultural): Trustees must balance maximum financial return with environmental sustainability, employment creation for local hapū, cultural preservation, and marae support. </w:t>
      </w:r>
    </w:p>
    <w:p w14:paraId="20258EDC" w14:textId="77777777" w:rsidR="00987FD7" w:rsidRPr="000B6EDB" w:rsidRDefault="00987FD7" w:rsidP="000B6EDB">
      <w:pPr>
        <w:numPr>
          <w:ilvl w:val="0"/>
          <w:numId w:val="6"/>
        </w:numPr>
        <w:rPr>
          <w:i/>
          <w:iCs/>
        </w:rPr>
      </w:pPr>
      <w:r w:rsidRPr="000B6EDB">
        <w:rPr>
          <w:i/>
          <w:iCs/>
        </w:rPr>
        <w:t xml:space="preserve">High Decision-Making Thresholds: Key decisions—such as long-term land-use changes or taking on major liabilities—often require complex beneficiary consultation, annual general meetings (AGMs), or approvals through the Māori Land Court, which can slow down strategic decision-making compared to private entities. </w:t>
      </w:r>
    </w:p>
    <w:p w14:paraId="1D03FADC" w14:textId="77777777" w:rsidR="000B6EDB" w:rsidRDefault="000B6EDB" w:rsidP="00987FD7">
      <w:pPr>
        <w:rPr>
          <w:b/>
          <w:bCs/>
        </w:rPr>
      </w:pPr>
    </w:p>
    <w:p w14:paraId="6E0D6FFF" w14:textId="4B555565" w:rsidR="00987FD7" w:rsidRPr="00DD3BDB" w:rsidRDefault="00987FD7" w:rsidP="00183F97">
      <w:pPr>
        <w:pStyle w:val="ListParagraph"/>
        <w:numPr>
          <w:ilvl w:val="0"/>
          <w:numId w:val="10"/>
        </w:numPr>
      </w:pPr>
      <w:r w:rsidRPr="00DD3BDB">
        <w:t>What alternative financing mechanisms are being explored to support Māori agribusiness expansion and land diversification?</w:t>
      </w:r>
    </w:p>
    <w:p w14:paraId="3BF4674C" w14:textId="12CEE735" w:rsidR="00987FD7" w:rsidRPr="00DD3BDB" w:rsidRDefault="00987FD7" w:rsidP="00DD3BDB">
      <w:pPr>
        <w:ind w:left="360"/>
        <w:rPr>
          <w:i/>
          <w:iCs/>
        </w:rPr>
      </w:pPr>
      <w:r w:rsidRPr="00DD3BDB">
        <w:rPr>
          <w:i/>
          <w:iCs/>
        </w:rPr>
        <w:t xml:space="preserve">To bypass traditional debt-mortgage hurdles, agribusinesses are evaluating alternative pathways: </w:t>
      </w:r>
    </w:p>
    <w:p w14:paraId="2A2BA8F9" w14:textId="7306010D" w:rsidR="00987FD7" w:rsidRPr="00DD3BDB" w:rsidRDefault="00987FD7" w:rsidP="00DD3BDB">
      <w:pPr>
        <w:numPr>
          <w:ilvl w:val="0"/>
          <w:numId w:val="6"/>
        </w:numPr>
        <w:rPr>
          <w:i/>
          <w:iCs/>
        </w:rPr>
      </w:pPr>
      <w:r w:rsidRPr="00DD3BDB">
        <w:rPr>
          <w:i/>
          <w:iCs/>
        </w:rPr>
        <w:t xml:space="preserve">Iwi Co-Investment </w:t>
      </w:r>
      <w:r w:rsidR="00DD3BDB">
        <w:rPr>
          <w:i/>
          <w:iCs/>
        </w:rPr>
        <w:t>and</w:t>
      </w:r>
      <w:r w:rsidRPr="00DD3BDB">
        <w:rPr>
          <w:i/>
          <w:iCs/>
        </w:rPr>
        <w:t xml:space="preserve"> Private Credit Funds: Larger Iwi/PSGE investment funds deploying collective capital to fund smaller Māori land trusts or regional developments. </w:t>
      </w:r>
    </w:p>
    <w:p w14:paraId="67FE348B" w14:textId="6A19D9B0" w:rsidR="00987FD7" w:rsidRPr="00DD3BDB" w:rsidRDefault="00987FD7" w:rsidP="00DD3BDB">
      <w:pPr>
        <w:numPr>
          <w:ilvl w:val="0"/>
          <w:numId w:val="6"/>
        </w:numPr>
        <w:rPr>
          <w:i/>
          <w:iCs/>
        </w:rPr>
      </w:pPr>
      <w:r w:rsidRPr="00DD3BDB">
        <w:rPr>
          <w:i/>
          <w:iCs/>
        </w:rPr>
        <w:t>Environmental</w:t>
      </w:r>
      <w:r w:rsidR="00DD3BDB">
        <w:rPr>
          <w:i/>
          <w:iCs/>
        </w:rPr>
        <w:t xml:space="preserve"> and</w:t>
      </w:r>
      <w:r w:rsidRPr="00DD3BDB">
        <w:rPr>
          <w:i/>
          <w:iCs/>
        </w:rPr>
        <w:t xml:space="preserve"> Biodiversity Credits: Payment models for ecosystem services (e.g., carbon credits under the ETS, water quality initiatives, or biodiversity credits) that generate revenue streams from land stewardship without requiring land sale or intensive industrial farming. </w:t>
      </w:r>
    </w:p>
    <w:p w14:paraId="1E329B67" w14:textId="40452EB4" w:rsidR="00987FD7" w:rsidRPr="00DD3BDB" w:rsidRDefault="00987FD7" w:rsidP="00DD3BDB">
      <w:pPr>
        <w:numPr>
          <w:ilvl w:val="0"/>
          <w:numId w:val="6"/>
        </w:numPr>
        <w:rPr>
          <w:i/>
          <w:iCs/>
        </w:rPr>
      </w:pPr>
      <w:r w:rsidRPr="00DD3BDB">
        <w:rPr>
          <w:i/>
          <w:iCs/>
        </w:rPr>
        <w:lastRenderedPageBreak/>
        <w:t xml:space="preserve">Catchment Collectives </w:t>
      </w:r>
      <w:r w:rsidR="00DD3BDB">
        <w:rPr>
          <w:i/>
          <w:iCs/>
        </w:rPr>
        <w:t>and</w:t>
      </w:r>
      <w:r w:rsidRPr="00DD3BDB">
        <w:rPr>
          <w:i/>
          <w:iCs/>
        </w:rPr>
        <w:t xml:space="preserve"> Philanthropic Capital: Aggregating smaller adjacent trusts into scale-ready collectives to attract major philanthropic or sustainability-linked debt financing. </w:t>
      </w:r>
    </w:p>
    <w:p w14:paraId="16808F45" w14:textId="079323C9" w:rsidR="00987FD7" w:rsidRPr="00DD3BDB" w:rsidRDefault="00987FD7" w:rsidP="00DD3BDB">
      <w:pPr>
        <w:numPr>
          <w:ilvl w:val="0"/>
          <w:numId w:val="6"/>
        </w:numPr>
        <w:rPr>
          <w:i/>
          <w:iCs/>
        </w:rPr>
      </w:pPr>
      <w:r w:rsidRPr="00DD3BDB">
        <w:rPr>
          <w:i/>
          <w:iCs/>
        </w:rPr>
        <w:t xml:space="preserve">Off-Take </w:t>
      </w:r>
      <w:r w:rsidR="00DD3BDB">
        <w:rPr>
          <w:i/>
          <w:iCs/>
        </w:rPr>
        <w:t>and</w:t>
      </w:r>
      <w:r w:rsidRPr="00DD3BDB">
        <w:rPr>
          <w:i/>
          <w:iCs/>
        </w:rPr>
        <w:t xml:space="preserve"> Revenue-Sharing Equity Models: Equity partnerships structured purely around joint-venture profit-sharing on produce (e.g., horticulture, dairy beef innovation) rather than land ownership. </w:t>
      </w:r>
    </w:p>
    <w:p w14:paraId="56161D99" w14:textId="77777777" w:rsidR="00987FD7" w:rsidRDefault="00987FD7"/>
    <w:sectPr w:rsidR="00987FD7" w:rsidSect="00987FD7">
      <w:headerReference w:type="default" r:id="rId8"/>
      <w:footerReference w:type="default" r:id="rId9"/>
      <w:pgSz w:w="11906" w:h="16838"/>
      <w:pgMar w:top="1440" w:right="1440" w:bottom="1440" w:left="1440" w:header="62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26DE8" w14:textId="77777777" w:rsidR="00717A87" w:rsidRDefault="00717A87" w:rsidP="00987FD7">
      <w:pPr>
        <w:spacing w:after="0" w:line="240" w:lineRule="auto"/>
      </w:pPr>
      <w:r>
        <w:separator/>
      </w:r>
    </w:p>
  </w:endnote>
  <w:endnote w:type="continuationSeparator" w:id="0">
    <w:p w14:paraId="75F56CC2" w14:textId="77777777" w:rsidR="00717A87" w:rsidRDefault="00717A87" w:rsidP="00987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46D4A" w14:textId="183BD440" w:rsidR="00987FD7" w:rsidRDefault="00987FD7">
    <w:pPr>
      <w:pStyle w:val="Footer"/>
    </w:pPr>
    <w:r>
      <w:rPr>
        <w:noProof/>
      </w:rPr>
      <w:drawing>
        <wp:anchor distT="0" distB="0" distL="114300" distR="114300" simplePos="0" relativeHeight="251661312" behindDoc="0" locked="0" layoutInCell="1" allowOverlap="1" wp14:anchorId="4A4A4E6D" wp14:editId="23F5254E">
          <wp:simplePos x="0" y="0"/>
          <wp:positionH relativeFrom="margin">
            <wp:align>right</wp:align>
          </wp:positionH>
          <wp:positionV relativeFrom="paragraph">
            <wp:posOffset>-104775</wp:posOffset>
          </wp:positionV>
          <wp:extent cx="5731510" cy="642620"/>
          <wp:effectExtent l="0" t="0" r="2540" b="5080"/>
          <wp:wrapTopAndBottom/>
          <wp:docPr id="1023418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4B353" w14:textId="77777777" w:rsidR="00717A87" w:rsidRDefault="00717A87" w:rsidP="00987FD7">
      <w:pPr>
        <w:spacing w:after="0" w:line="240" w:lineRule="auto"/>
      </w:pPr>
      <w:r>
        <w:separator/>
      </w:r>
    </w:p>
  </w:footnote>
  <w:footnote w:type="continuationSeparator" w:id="0">
    <w:p w14:paraId="3A177DD8" w14:textId="77777777" w:rsidR="00717A87" w:rsidRDefault="00717A87" w:rsidP="00987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3069C" w14:textId="6D9184E1" w:rsidR="00987FD7" w:rsidRDefault="00987FD7">
    <w:pPr>
      <w:pStyle w:val="Header"/>
    </w:pPr>
    <w:r>
      <w:rPr>
        <w:noProof/>
      </w:rPr>
      <w:drawing>
        <wp:anchor distT="0" distB="0" distL="114300" distR="114300" simplePos="0" relativeHeight="251659264" behindDoc="0" locked="0" layoutInCell="1" allowOverlap="1" wp14:anchorId="02A3AF64" wp14:editId="1B142F01">
          <wp:simplePos x="0" y="0"/>
          <wp:positionH relativeFrom="margin">
            <wp:posOffset>3943350</wp:posOffset>
          </wp:positionH>
          <wp:positionV relativeFrom="paragraph">
            <wp:posOffset>-238760</wp:posOffset>
          </wp:positionV>
          <wp:extent cx="1715135" cy="695325"/>
          <wp:effectExtent l="0" t="0" r="0" b="9525"/>
          <wp:wrapSquare wrapText="bothSides"/>
          <wp:docPr id="195980122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207D"/>
    <w:multiLevelType w:val="multilevel"/>
    <w:tmpl w:val="15DC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91D6C"/>
    <w:multiLevelType w:val="hybridMultilevel"/>
    <w:tmpl w:val="3C86403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C185352"/>
    <w:multiLevelType w:val="multilevel"/>
    <w:tmpl w:val="7E9C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460D77"/>
    <w:multiLevelType w:val="multilevel"/>
    <w:tmpl w:val="139CA4A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9119BA"/>
    <w:multiLevelType w:val="multilevel"/>
    <w:tmpl w:val="6BA8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AE526E"/>
    <w:multiLevelType w:val="hybridMultilevel"/>
    <w:tmpl w:val="04E64C6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63091C35"/>
    <w:multiLevelType w:val="multilevel"/>
    <w:tmpl w:val="B986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A922D3"/>
    <w:multiLevelType w:val="multilevel"/>
    <w:tmpl w:val="69AE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935EEB"/>
    <w:multiLevelType w:val="multilevel"/>
    <w:tmpl w:val="57FCB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910492"/>
    <w:multiLevelType w:val="multilevel"/>
    <w:tmpl w:val="087A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136468">
    <w:abstractNumId w:val="6"/>
  </w:num>
  <w:num w:numId="2" w16cid:durableId="1505511031">
    <w:abstractNumId w:val="4"/>
  </w:num>
  <w:num w:numId="3" w16cid:durableId="1329795235">
    <w:abstractNumId w:val="0"/>
  </w:num>
  <w:num w:numId="4" w16cid:durableId="521818244">
    <w:abstractNumId w:val="9"/>
  </w:num>
  <w:num w:numId="5" w16cid:durableId="666323655">
    <w:abstractNumId w:val="2"/>
  </w:num>
  <w:num w:numId="6" w16cid:durableId="61372406">
    <w:abstractNumId w:val="7"/>
  </w:num>
  <w:num w:numId="7" w16cid:durableId="388722705">
    <w:abstractNumId w:val="8"/>
  </w:num>
  <w:num w:numId="8" w16cid:durableId="322122283">
    <w:abstractNumId w:val="5"/>
  </w:num>
  <w:num w:numId="9" w16cid:durableId="940800428">
    <w:abstractNumId w:val="3"/>
  </w:num>
  <w:num w:numId="10" w16cid:durableId="2065443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A5F"/>
    <w:rsid w:val="000B6EDB"/>
    <w:rsid w:val="00183F97"/>
    <w:rsid w:val="002D76AE"/>
    <w:rsid w:val="00717A87"/>
    <w:rsid w:val="0073689C"/>
    <w:rsid w:val="00987FD7"/>
    <w:rsid w:val="00DD3BDB"/>
    <w:rsid w:val="00E554FE"/>
    <w:rsid w:val="00E95A5F"/>
    <w:rsid w:val="00FA662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DC250"/>
  <w15:chartTrackingRefBased/>
  <w15:docId w15:val="{46FDB5BB-AF6D-4E51-8CA0-B6CE42EF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5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5A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5A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5A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5A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A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A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A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A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A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5A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A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A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A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A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A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A5F"/>
    <w:rPr>
      <w:rFonts w:eastAsiaTheme="majorEastAsia" w:cstheme="majorBidi"/>
      <w:color w:val="272727" w:themeColor="text1" w:themeTint="D8"/>
    </w:rPr>
  </w:style>
  <w:style w:type="paragraph" w:styleId="Title">
    <w:name w:val="Title"/>
    <w:basedOn w:val="Normal"/>
    <w:next w:val="Normal"/>
    <w:link w:val="TitleChar"/>
    <w:uiPriority w:val="10"/>
    <w:qFormat/>
    <w:rsid w:val="00E95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A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A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A5F"/>
    <w:pPr>
      <w:spacing w:before="160"/>
      <w:jc w:val="center"/>
    </w:pPr>
    <w:rPr>
      <w:i/>
      <w:iCs/>
      <w:color w:val="404040" w:themeColor="text1" w:themeTint="BF"/>
    </w:rPr>
  </w:style>
  <w:style w:type="character" w:customStyle="1" w:styleId="QuoteChar">
    <w:name w:val="Quote Char"/>
    <w:basedOn w:val="DefaultParagraphFont"/>
    <w:link w:val="Quote"/>
    <w:uiPriority w:val="29"/>
    <w:rsid w:val="00E95A5F"/>
    <w:rPr>
      <w:i/>
      <w:iCs/>
      <w:color w:val="404040" w:themeColor="text1" w:themeTint="BF"/>
    </w:rPr>
  </w:style>
  <w:style w:type="paragraph" w:styleId="ListParagraph">
    <w:name w:val="List Paragraph"/>
    <w:basedOn w:val="Normal"/>
    <w:uiPriority w:val="34"/>
    <w:qFormat/>
    <w:rsid w:val="00E95A5F"/>
    <w:pPr>
      <w:ind w:left="720"/>
      <w:contextualSpacing/>
    </w:pPr>
  </w:style>
  <w:style w:type="character" w:styleId="IntenseEmphasis">
    <w:name w:val="Intense Emphasis"/>
    <w:basedOn w:val="DefaultParagraphFont"/>
    <w:uiPriority w:val="21"/>
    <w:qFormat/>
    <w:rsid w:val="00E95A5F"/>
    <w:rPr>
      <w:i/>
      <w:iCs/>
      <w:color w:val="0F4761" w:themeColor="accent1" w:themeShade="BF"/>
    </w:rPr>
  </w:style>
  <w:style w:type="paragraph" w:styleId="IntenseQuote">
    <w:name w:val="Intense Quote"/>
    <w:basedOn w:val="Normal"/>
    <w:next w:val="Normal"/>
    <w:link w:val="IntenseQuoteChar"/>
    <w:uiPriority w:val="30"/>
    <w:qFormat/>
    <w:rsid w:val="00E95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A5F"/>
    <w:rPr>
      <w:i/>
      <w:iCs/>
      <w:color w:val="0F4761" w:themeColor="accent1" w:themeShade="BF"/>
    </w:rPr>
  </w:style>
  <w:style w:type="character" w:styleId="IntenseReference">
    <w:name w:val="Intense Reference"/>
    <w:basedOn w:val="DefaultParagraphFont"/>
    <w:uiPriority w:val="32"/>
    <w:qFormat/>
    <w:rsid w:val="00E95A5F"/>
    <w:rPr>
      <w:b/>
      <w:bCs/>
      <w:smallCaps/>
      <w:color w:val="0F4761" w:themeColor="accent1" w:themeShade="BF"/>
      <w:spacing w:val="5"/>
    </w:rPr>
  </w:style>
  <w:style w:type="character" w:styleId="Hyperlink">
    <w:name w:val="Hyperlink"/>
    <w:basedOn w:val="DefaultParagraphFont"/>
    <w:uiPriority w:val="99"/>
    <w:unhideWhenUsed/>
    <w:rsid w:val="00E95A5F"/>
    <w:rPr>
      <w:color w:val="467886" w:themeColor="hyperlink"/>
      <w:u w:val="single"/>
    </w:rPr>
  </w:style>
  <w:style w:type="character" w:styleId="UnresolvedMention">
    <w:name w:val="Unresolved Mention"/>
    <w:basedOn w:val="DefaultParagraphFont"/>
    <w:uiPriority w:val="99"/>
    <w:semiHidden/>
    <w:unhideWhenUsed/>
    <w:rsid w:val="00E95A5F"/>
    <w:rPr>
      <w:color w:val="605E5C"/>
      <w:shd w:val="clear" w:color="auto" w:fill="E1DFDD"/>
    </w:rPr>
  </w:style>
  <w:style w:type="paragraph" w:styleId="Header">
    <w:name w:val="header"/>
    <w:basedOn w:val="Normal"/>
    <w:link w:val="HeaderChar"/>
    <w:uiPriority w:val="99"/>
    <w:unhideWhenUsed/>
    <w:rsid w:val="00987F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FD7"/>
  </w:style>
  <w:style w:type="paragraph" w:styleId="Footer">
    <w:name w:val="footer"/>
    <w:basedOn w:val="Normal"/>
    <w:link w:val="FooterChar"/>
    <w:uiPriority w:val="99"/>
    <w:unhideWhenUsed/>
    <w:rsid w:val="00987F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FD7"/>
  </w:style>
  <w:style w:type="character" w:styleId="FollowedHyperlink">
    <w:name w:val="FollowedHyperlink"/>
    <w:basedOn w:val="DefaultParagraphFont"/>
    <w:uiPriority w:val="99"/>
    <w:semiHidden/>
    <w:unhideWhenUsed/>
    <w:rsid w:val="000B6ED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OCvwOL_-N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1317</Words>
  <Characters>7511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1</cp:revision>
  <dcterms:created xsi:type="dcterms:W3CDTF">2026-08-27T00:01:00Z</dcterms:created>
  <dcterms:modified xsi:type="dcterms:W3CDTF">2026-08-27T01:53:00Z</dcterms:modified>
</cp:coreProperties>
</file>