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CBC1" w14:textId="1D33CEE0" w:rsidR="0050181D" w:rsidRPr="0050181D" w:rsidRDefault="0050181D" w:rsidP="0050181D">
      <w:pPr>
        <w:jc w:val="center"/>
        <w:rPr>
          <w:b/>
          <w:bCs/>
          <w:sz w:val="28"/>
          <w:szCs w:val="28"/>
        </w:rPr>
      </w:pPr>
      <w:r w:rsidRPr="0050181D">
        <w:rPr>
          <w:b/>
          <w:bCs/>
          <w:sz w:val="28"/>
          <w:szCs w:val="28"/>
        </w:rPr>
        <w:t>Market forces nudge succession trends</w:t>
      </w:r>
    </w:p>
    <w:p w14:paraId="3DCFA80B" w14:textId="77777777" w:rsidR="0050181D" w:rsidRDefault="0050181D" w:rsidP="0050181D">
      <w:pPr>
        <w:spacing w:after="0" w:line="360" w:lineRule="auto"/>
        <w:jc w:val="both"/>
      </w:pPr>
    </w:p>
    <w:p w14:paraId="626E7D0B" w14:textId="6ADE6BCC" w:rsidR="0050181D" w:rsidRPr="0050181D" w:rsidRDefault="0050181D" w:rsidP="0050181D">
      <w:pPr>
        <w:rPr>
          <w:b/>
          <w:bCs/>
        </w:rPr>
      </w:pPr>
      <w:r>
        <w:t>Read</w:t>
      </w:r>
      <w:r w:rsidRPr="007F60F8">
        <w:rPr>
          <w:b/>
          <w:bCs/>
        </w:rPr>
        <w:t xml:space="preserve"> </w:t>
      </w:r>
      <w:r w:rsidRPr="007F60F8">
        <w:rPr>
          <w:b/>
          <w:bCs/>
          <w:i/>
          <w:iCs/>
        </w:rPr>
        <w:t>“</w:t>
      </w:r>
      <w:r w:rsidRPr="0050181D">
        <w:rPr>
          <w:b/>
          <w:bCs/>
        </w:rPr>
        <w:t>Market forces nudge succession trends</w:t>
      </w:r>
      <w:r w:rsidRPr="007F60F8">
        <w:rPr>
          <w:b/>
          <w:bCs/>
          <w:i/>
          <w:iCs/>
        </w:rPr>
        <w:t>”</w:t>
      </w:r>
      <w:r w:rsidRPr="007F60F8">
        <w:t xml:space="preserve"> </w:t>
      </w:r>
      <w:r w:rsidR="00811009">
        <w:t xml:space="preserve">below, </w:t>
      </w:r>
      <w:r w:rsidRPr="007F60F8">
        <w:t xml:space="preserve">and the </w:t>
      </w:r>
      <w:r>
        <w:t>answer the following questions.</w:t>
      </w:r>
    </w:p>
    <w:p w14:paraId="3E607AF6" w14:textId="77777777" w:rsidR="0050181D" w:rsidRDefault="0050181D" w:rsidP="0050181D">
      <w:pPr>
        <w:rPr>
          <w:b/>
          <w:bCs/>
        </w:rPr>
      </w:pPr>
    </w:p>
    <w:p w14:paraId="4146F289" w14:textId="40BB401A" w:rsidR="0050181D" w:rsidRPr="0050181D" w:rsidRDefault="0050181D" w:rsidP="0050181D">
      <w:pPr>
        <w:rPr>
          <w:b/>
          <w:bCs/>
        </w:rPr>
      </w:pPr>
      <w:r>
        <w:rPr>
          <w:b/>
          <w:bCs/>
        </w:rPr>
        <w:t>Questions</w:t>
      </w:r>
    </w:p>
    <w:p w14:paraId="59D35A4B" w14:textId="164ABB83" w:rsidR="0050181D" w:rsidRPr="0050181D" w:rsidRDefault="0050181D" w:rsidP="00811009">
      <w:pPr>
        <w:numPr>
          <w:ilvl w:val="0"/>
          <w:numId w:val="1"/>
        </w:numPr>
        <w:tabs>
          <w:tab w:val="clear" w:pos="720"/>
          <w:tab w:val="num" w:pos="360"/>
        </w:tabs>
        <w:ind w:left="360"/>
      </w:pPr>
      <w:r w:rsidRPr="0050181D">
        <w:t>What is the median age of New Zealand farmers according to the 2023 Stats NZ data, and by what percentage did the number of farmers aged 65 and over increase between 2013 and 2023?</w:t>
      </w:r>
    </w:p>
    <w:p w14:paraId="1C3BD800" w14:textId="107B5BDD" w:rsidR="0050181D" w:rsidRPr="0050181D" w:rsidRDefault="0050181D" w:rsidP="00811009">
      <w:pPr>
        <w:numPr>
          <w:ilvl w:val="0"/>
          <w:numId w:val="1"/>
        </w:numPr>
        <w:tabs>
          <w:tab w:val="clear" w:pos="720"/>
          <w:tab w:val="num" w:pos="360"/>
        </w:tabs>
        <w:ind w:left="360"/>
      </w:pPr>
      <w:r w:rsidRPr="0050181D">
        <w:t>Contrast the median age of dairy farmers with that of sheep and beef farmers. Why has succession historically been more accessible in the dairy sector compared to sheep and beef?</w:t>
      </w:r>
    </w:p>
    <w:p w14:paraId="3EDA28EE" w14:textId="7F265B78" w:rsidR="0050181D" w:rsidRPr="0050181D" w:rsidRDefault="0050181D" w:rsidP="00811009">
      <w:pPr>
        <w:numPr>
          <w:ilvl w:val="0"/>
          <w:numId w:val="1"/>
        </w:numPr>
        <w:tabs>
          <w:tab w:val="clear" w:pos="720"/>
          <w:tab w:val="num" w:pos="360"/>
        </w:tabs>
        <w:ind w:left="360"/>
      </w:pPr>
      <w:r w:rsidRPr="0050181D">
        <w:t>According to Rabobank estimates, what is the total value of intergenerational wealth expected to be transferred over the next decade, and approximately how many farm and orchard owners will reach age 65?</w:t>
      </w:r>
    </w:p>
    <w:p w14:paraId="6DE5B161" w14:textId="0CAFDF57" w:rsidR="0050181D" w:rsidRPr="0050181D" w:rsidRDefault="0050181D" w:rsidP="00811009">
      <w:pPr>
        <w:numPr>
          <w:ilvl w:val="0"/>
          <w:numId w:val="2"/>
        </w:numPr>
        <w:tabs>
          <w:tab w:val="clear" w:pos="720"/>
          <w:tab w:val="num" w:pos="360"/>
        </w:tabs>
        <w:ind w:left="360"/>
      </w:pPr>
      <w:r w:rsidRPr="0050181D">
        <w:t>Dan van der Salm from PGG Wrightson highlights a difference in how younger farmers evaluate property compared to older generations. Explain how the "commercial lens" of younger buyers differs from traditional views on land value.</w:t>
      </w:r>
    </w:p>
    <w:p w14:paraId="1FD2BE17" w14:textId="1AACAAF3" w:rsidR="0050181D" w:rsidRPr="0050181D" w:rsidRDefault="0050181D" w:rsidP="00811009">
      <w:pPr>
        <w:numPr>
          <w:ilvl w:val="0"/>
          <w:numId w:val="2"/>
        </w:numPr>
        <w:tabs>
          <w:tab w:val="clear" w:pos="720"/>
          <w:tab w:val="num" w:pos="360"/>
        </w:tabs>
        <w:ind w:left="360"/>
      </w:pPr>
      <w:r w:rsidRPr="0050181D">
        <w:t>What shift have banks made regarding lending to younger farmers and larger-scale operations, and why might banks have a self-interest in facilitating this transition now?</w:t>
      </w:r>
    </w:p>
    <w:p w14:paraId="52327F53" w14:textId="77777777" w:rsidR="008B1BE5" w:rsidRPr="0050181D" w:rsidRDefault="008B1BE5" w:rsidP="00811009">
      <w:pPr>
        <w:numPr>
          <w:ilvl w:val="0"/>
          <w:numId w:val="2"/>
        </w:numPr>
        <w:tabs>
          <w:tab w:val="clear" w:pos="720"/>
          <w:tab w:val="num" w:pos="360"/>
        </w:tabs>
        <w:ind w:left="360"/>
      </w:pPr>
      <w:r w:rsidRPr="008B1BE5">
        <w:t>Banks are increasingly receptive to lending to young farmers for larger-scale operations, provided there is a strong return on investment. Recommend how structuring the agribusiness as a Limited Liability Company rather than a Sole Trader helps meet</w:t>
      </w:r>
      <w:r w:rsidRPr="0050181D">
        <w:t xml:space="preserve"> the strategic goal of securing bank funding for succession.</w:t>
      </w:r>
    </w:p>
    <w:p w14:paraId="72D348E7" w14:textId="39F2DD10" w:rsidR="0050181D" w:rsidRPr="0050181D" w:rsidRDefault="0050181D" w:rsidP="00811009">
      <w:pPr>
        <w:numPr>
          <w:ilvl w:val="0"/>
          <w:numId w:val="2"/>
        </w:numPr>
        <w:tabs>
          <w:tab w:val="clear" w:pos="720"/>
          <w:tab w:val="num" w:pos="360"/>
        </w:tabs>
        <w:ind w:left="360"/>
      </w:pPr>
      <w:r w:rsidRPr="0050181D">
        <w:t>What specific corporate event mentioned in the article provided some dairy farmers with a unique opportunity to restructure farm ownership?</w:t>
      </w:r>
    </w:p>
    <w:p w14:paraId="64A1B5D6" w14:textId="25B462AC" w:rsidR="0050181D" w:rsidRPr="0050181D" w:rsidRDefault="0050181D" w:rsidP="00811009">
      <w:pPr>
        <w:numPr>
          <w:ilvl w:val="0"/>
          <w:numId w:val="2"/>
        </w:numPr>
        <w:tabs>
          <w:tab w:val="clear" w:pos="720"/>
          <w:tab w:val="num" w:pos="360"/>
        </w:tabs>
        <w:ind w:left="360"/>
      </w:pPr>
      <w:r w:rsidRPr="0050181D">
        <w:t>High farmgate prices and improved profitability are attracting young farmers, but what financial challenges do these same market conditions create for someone trying to buy into a farming operation?</w:t>
      </w:r>
    </w:p>
    <w:p w14:paraId="44315E3E" w14:textId="15408EC9" w:rsidR="0050181D" w:rsidRPr="0050181D" w:rsidRDefault="0050181D" w:rsidP="00811009">
      <w:pPr>
        <w:numPr>
          <w:ilvl w:val="0"/>
          <w:numId w:val="2"/>
        </w:numPr>
        <w:tabs>
          <w:tab w:val="clear" w:pos="720"/>
          <w:tab w:val="num" w:pos="360"/>
        </w:tabs>
        <w:ind w:left="360"/>
      </w:pPr>
      <w:r>
        <w:t xml:space="preserve">High </w:t>
      </w:r>
      <w:r w:rsidRPr="0050181D">
        <w:t>farmgate prices and high livestock valuations make entering ownership expensive for young buyers. Explain how a Partnership between a retiring farmer and a young farmer impacts financial risk exposure for both parties compared to a Company Structure where the young farmer buys minority shares over time.</w:t>
      </w:r>
    </w:p>
    <w:p w14:paraId="2AC9CD2D" w14:textId="45844EBA" w:rsidR="0050181D" w:rsidRPr="0050181D" w:rsidRDefault="0050181D" w:rsidP="00811009">
      <w:pPr>
        <w:numPr>
          <w:ilvl w:val="0"/>
          <w:numId w:val="2"/>
        </w:numPr>
        <w:tabs>
          <w:tab w:val="clear" w:pos="720"/>
          <w:tab w:val="num" w:pos="360"/>
        </w:tabs>
        <w:ind w:left="360"/>
      </w:pPr>
      <w:r w:rsidRPr="0050181D">
        <w:lastRenderedPageBreak/>
        <w:t>Older generations of farmers have seen multiple price cycles go up and down. What global market factors suggest that current meat and dairy demand might represent a long-term structural shift rather than just a short-term price boom?</w:t>
      </w:r>
    </w:p>
    <w:p w14:paraId="1AD1098C" w14:textId="267070AA" w:rsidR="0050181D" w:rsidRPr="0050181D" w:rsidRDefault="0050181D" w:rsidP="00811009">
      <w:pPr>
        <w:numPr>
          <w:ilvl w:val="0"/>
          <w:numId w:val="2"/>
        </w:numPr>
        <w:tabs>
          <w:tab w:val="clear" w:pos="720"/>
          <w:tab w:val="num" w:pos="360"/>
        </w:tabs>
        <w:ind w:left="360"/>
      </w:pPr>
      <w:r w:rsidRPr="0050181D">
        <w:t xml:space="preserve">If you were advising a young farmer considering entering a sheep and beef operation today, what three key financial or market factors from this article would you tell them to </w:t>
      </w:r>
      <w:r w:rsidRPr="0050181D">
        <w:t>analyse</w:t>
      </w:r>
      <w:r w:rsidRPr="0050181D">
        <w:t xml:space="preserve"> before taking on debt?</w:t>
      </w:r>
    </w:p>
    <w:p w14:paraId="77FBA4C1" w14:textId="7B7F3064" w:rsidR="0050181D" w:rsidRPr="0050181D" w:rsidRDefault="0050181D" w:rsidP="00811009">
      <w:pPr>
        <w:numPr>
          <w:ilvl w:val="0"/>
          <w:numId w:val="2"/>
        </w:numPr>
        <w:tabs>
          <w:tab w:val="clear" w:pos="720"/>
          <w:tab w:val="num" w:pos="360"/>
        </w:tabs>
        <w:ind w:left="360"/>
      </w:pPr>
      <w:r w:rsidRPr="0050181D">
        <w:t xml:space="preserve">Many older sheep and beef farms operate under traditional Sole Trader or Partnership structures, while larger modern farming operations use Limited Liability Companies or Trading Trusts. </w:t>
      </w:r>
      <w:r w:rsidR="00BB3C90">
        <w:t>E</w:t>
      </w:r>
      <w:r w:rsidRPr="0050181D">
        <w:t>xplain how a sole trader/partnership structure might impact a retiring farmer’s ability to execute a smooth succession plan compared to a Limited Liability Company.</w:t>
      </w:r>
    </w:p>
    <w:p w14:paraId="7E904EE5" w14:textId="266F742D" w:rsidR="0050181D" w:rsidRPr="0050181D" w:rsidRDefault="0050181D" w:rsidP="00811009">
      <w:pPr>
        <w:numPr>
          <w:ilvl w:val="0"/>
          <w:numId w:val="2"/>
        </w:numPr>
        <w:tabs>
          <w:tab w:val="clear" w:pos="720"/>
          <w:tab w:val="num" w:pos="360"/>
        </w:tabs>
        <w:ind w:left="360"/>
      </w:pPr>
      <w:r w:rsidRPr="0050181D">
        <w:t>Imagine a family-owned sheep and beef farm where the parents (median age ~56) wish to transition management and ownership to a young, commercially driven buyer (as described by Dan van der Salm).</w:t>
      </w:r>
    </w:p>
    <w:p w14:paraId="012F9364" w14:textId="1CC8B166" w:rsidR="0050181D" w:rsidRPr="008B1BE5" w:rsidRDefault="0050181D" w:rsidP="00811009">
      <w:pPr>
        <w:numPr>
          <w:ilvl w:val="1"/>
          <w:numId w:val="5"/>
        </w:numPr>
        <w:tabs>
          <w:tab w:val="clear" w:pos="1440"/>
          <w:tab w:val="num" w:pos="1080"/>
        </w:tabs>
        <w:ind w:left="1080"/>
      </w:pPr>
      <w:r w:rsidRPr="008B1BE5">
        <w:t>Recommend whether a Trading Trust, a Limited Liability Company, or a Co-operative/Equity Partnership structure best facilitates this transition.</w:t>
      </w:r>
    </w:p>
    <w:p w14:paraId="193621E5" w14:textId="5A4A61BB" w:rsidR="0050181D" w:rsidRPr="008B1BE5" w:rsidRDefault="0050181D" w:rsidP="00811009">
      <w:pPr>
        <w:numPr>
          <w:ilvl w:val="1"/>
          <w:numId w:val="5"/>
        </w:numPr>
        <w:tabs>
          <w:tab w:val="clear" w:pos="1440"/>
          <w:tab w:val="num" w:pos="1080"/>
        </w:tabs>
        <w:ind w:left="1080"/>
      </w:pPr>
      <w:r w:rsidRPr="008B1BE5">
        <w:t>Justify your choice by explaining how your recommended structure addresses:</w:t>
      </w:r>
    </w:p>
    <w:p w14:paraId="4CBF1B5E" w14:textId="77777777" w:rsidR="0050181D" w:rsidRPr="008B1BE5" w:rsidRDefault="0050181D" w:rsidP="00811009">
      <w:pPr>
        <w:numPr>
          <w:ilvl w:val="2"/>
          <w:numId w:val="5"/>
        </w:numPr>
        <w:tabs>
          <w:tab w:val="clear" w:pos="2160"/>
          <w:tab w:val="num" w:pos="1800"/>
        </w:tabs>
        <w:ind w:left="1800"/>
      </w:pPr>
      <w:r w:rsidRPr="008B1BE5">
        <w:t>The incoming buyer’s focus on return on investment (ROI) and current market value.</w:t>
      </w:r>
    </w:p>
    <w:p w14:paraId="5A89CDEF" w14:textId="77777777" w:rsidR="0050181D" w:rsidRPr="008B1BE5" w:rsidRDefault="0050181D" w:rsidP="00811009">
      <w:pPr>
        <w:numPr>
          <w:ilvl w:val="2"/>
          <w:numId w:val="5"/>
        </w:numPr>
        <w:tabs>
          <w:tab w:val="clear" w:pos="2160"/>
          <w:tab w:val="num" w:pos="1800"/>
        </w:tabs>
        <w:ind w:left="1800"/>
      </w:pPr>
      <w:r w:rsidRPr="008B1BE5">
        <w:t>The retiring farmers' need for income or capital release for retirement.</w:t>
      </w:r>
    </w:p>
    <w:p w14:paraId="78C1E468" w14:textId="50C98FE8" w:rsidR="0050181D" w:rsidRPr="0050181D" w:rsidRDefault="00811009" w:rsidP="00811009">
      <w:pPr>
        <w:numPr>
          <w:ilvl w:val="0"/>
          <w:numId w:val="2"/>
        </w:numPr>
        <w:tabs>
          <w:tab w:val="clear" w:pos="720"/>
          <w:tab w:val="num" w:pos="360"/>
        </w:tabs>
        <w:ind w:left="360"/>
      </w:pPr>
      <w:r>
        <w:t>C</w:t>
      </w:r>
      <w:r w:rsidR="0050181D" w:rsidRPr="0050181D">
        <w:t>ommodity price cycles always go up and down, raising questions about potential market corrections. Evaluate your recommended business structure (</w:t>
      </w:r>
      <w:r w:rsidR="008B1BE5">
        <w:t>from question 1</w:t>
      </w:r>
      <w:r w:rsidR="007842FB">
        <w:t>3</w:t>
      </w:r>
      <w:r w:rsidR="0050181D" w:rsidRPr="0050181D">
        <w:t>) for a farm undergoing succession:</w:t>
      </w:r>
    </w:p>
    <w:p w14:paraId="41646A82" w14:textId="0F5FF2A7" w:rsidR="0050181D" w:rsidRPr="0050181D" w:rsidRDefault="0050181D" w:rsidP="00811009">
      <w:pPr>
        <w:numPr>
          <w:ilvl w:val="1"/>
          <w:numId w:val="6"/>
        </w:numPr>
        <w:tabs>
          <w:tab w:val="clear" w:pos="1440"/>
          <w:tab w:val="num" w:pos="1080"/>
        </w:tabs>
        <w:ind w:left="1080"/>
      </w:pPr>
      <w:r w:rsidRPr="0050181D">
        <w:t>How does this structure protect the business and young buyer over the next 1–3 years if livestock valuations or meat prices experience a sudden downward correction?</w:t>
      </w:r>
    </w:p>
    <w:p w14:paraId="4456D977" w14:textId="6EECB35A" w:rsidR="0050181D" w:rsidRPr="0050181D" w:rsidRDefault="0050181D" w:rsidP="00811009">
      <w:pPr>
        <w:numPr>
          <w:ilvl w:val="1"/>
          <w:numId w:val="6"/>
        </w:numPr>
        <w:tabs>
          <w:tab w:val="clear" w:pos="1440"/>
          <w:tab w:val="num" w:pos="1080"/>
        </w:tabs>
        <w:ind w:left="1080"/>
      </w:pPr>
      <w:r w:rsidRPr="0050181D">
        <w:t>How does this structure ensure the long-term viability, capital flexibility, and governance stability of the farm over the next 10–20 years as the $150 billion intergenerational wealth transfer takes place?</w:t>
      </w:r>
    </w:p>
    <w:p w14:paraId="14E7B404" w14:textId="77777777" w:rsidR="0050181D" w:rsidRDefault="0050181D" w:rsidP="0050181D"/>
    <w:p w14:paraId="2D5D7E65" w14:textId="77777777" w:rsidR="00811009" w:rsidRDefault="00811009">
      <w:pPr>
        <w:rPr>
          <w:b/>
          <w:bCs/>
          <w:sz w:val="28"/>
          <w:szCs w:val="28"/>
        </w:rPr>
      </w:pPr>
      <w:r>
        <w:rPr>
          <w:b/>
          <w:bCs/>
          <w:sz w:val="28"/>
          <w:szCs w:val="28"/>
        </w:rPr>
        <w:br w:type="page"/>
      </w:r>
    </w:p>
    <w:p w14:paraId="2EAA87EB" w14:textId="4BB301EB" w:rsidR="00811009" w:rsidRPr="0050181D" w:rsidRDefault="00811009" w:rsidP="00811009">
      <w:pPr>
        <w:jc w:val="center"/>
        <w:rPr>
          <w:b/>
          <w:bCs/>
          <w:sz w:val="28"/>
          <w:szCs w:val="28"/>
        </w:rPr>
      </w:pPr>
      <w:r w:rsidRPr="0050181D">
        <w:rPr>
          <w:b/>
          <w:bCs/>
          <w:sz w:val="28"/>
          <w:szCs w:val="28"/>
        </w:rPr>
        <w:lastRenderedPageBreak/>
        <w:t>Market forces nudge succession trends</w:t>
      </w:r>
    </w:p>
    <w:p w14:paraId="7AC96500" w14:textId="77777777" w:rsidR="0050181D" w:rsidRPr="0050181D" w:rsidRDefault="0050181D" w:rsidP="0050181D">
      <w:hyperlink r:id="rId8" w:history="1">
        <w:r w:rsidRPr="0050181D">
          <w:rPr>
            <w:rStyle w:val="Hyperlink"/>
          </w:rPr>
          <w:t>Neal Wallace</w:t>
        </w:r>
      </w:hyperlink>
    </w:p>
    <w:p w14:paraId="1B34AB6F" w14:textId="77777777" w:rsidR="0050181D" w:rsidRPr="0050181D" w:rsidRDefault="0050181D" w:rsidP="0050181D">
      <w:r w:rsidRPr="0050181D">
        <w:t>August 7, 2026</w:t>
      </w:r>
    </w:p>
    <w:p w14:paraId="4EA193AB" w14:textId="77777777" w:rsidR="0050181D" w:rsidRPr="0050181D" w:rsidRDefault="0050181D" w:rsidP="0050181D">
      <w:r w:rsidRPr="0050181D">
        <w:t>Larger numbers of young farmers are following their commercial instincts into farm ownership, writes Neal Wallace.</w:t>
      </w:r>
    </w:p>
    <w:p w14:paraId="27AAF8DD" w14:textId="132919C2" w:rsidR="0050181D" w:rsidRPr="0050181D" w:rsidRDefault="0050181D" w:rsidP="00811009">
      <w:pPr>
        <w:jc w:val="center"/>
      </w:pPr>
      <w:r w:rsidRPr="0050181D">
        <w:drawing>
          <wp:inline distT="0" distB="0" distL="0" distR="0" wp14:anchorId="6D578397" wp14:editId="2E411E03">
            <wp:extent cx="5731510" cy="3582035"/>
            <wp:effectExtent l="0" t="0" r="2540" b="0"/>
            <wp:docPr id="16614479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582035"/>
                    </a:xfrm>
                    <a:prstGeom prst="rect">
                      <a:avLst/>
                    </a:prstGeom>
                    <a:noFill/>
                    <a:ln>
                      <a:noFill/>
                    </a:ln>
                  </pic:spPr>
                </pic:pic>
              </a:graphicData>
            </a:graphic>
          </wp:inline>
        </w:drawing>
      </w:r>
      <w:r w:rsidRPr="00811009">
        <w:rPr>
          <w:sz w:val="16"/>
          <w:szCs w:val="16"/>
        </w:rPr>
        <w:t>Improved farm profitability and stronger bank support are helping more young farmers enter the market, offering fresh momentum for farm succession. File photo</w:t>
      </w:r>
    </w:p>
    <w:p w14:paraId="325CBF25" w14:textId="77777777" w:rsidR="0050181D" w:rsidRPr="0050181D" w:rsidRDefault="0050181D" w:rsidP="0050181D">
      <w:r w:rsidRPr="0050181D">
        <w:t>The issue of farm succession has been bearing down on the primary sector like a freight train.</w:t>
      </w:r>
    </w:p>
    <w:p w14:paraId="2B1DC117" w14:textId="77777777" w:rsidR="0050181D" w:rsidRPr="0050181D" w:rsidRDefault="0050181D" w:rsidP="0050181D">
      <w:r w:rsidRPr="0050181D">
        <w:t>As we reported earlier this year, Stats NZ data shows the average age of farmers is inching towards 50, with the number of those aged 65 and over increasing 66% between 2013 and 2023.</w:t>
      </w:r>
    </w:p>
    <w:p w14:paraId="2F85503F" w14:textId="77777777" w:rsidR="0050181D" w:rsidRPr="0050181D" w:rsidRDefault="0050181D" w:rsidP="0050181D">
      <w:r w:rsidRPr="0050181D">
        <w:t>The data reveals the median age of all farmers in 2023 was 49.8, up one year from 2018. </w:t>
      </w:r>
    </w:p>
    <w:p w14:paraId="28643FE7" w14:textId="77777777" w:rsidR="0050181D" w:rsidRPr="0050181D" w:rsidRDefault="0050181D" w:rsidP="0050181D">
      <w:r w:rsidRPr="0050181D">
        <w:t>The figure was moderated by the median age of dairy farmers, which was 41. In comparison, the median age of sheep farmers was 55.8 and beef 62.2.</w:t>
      </w:r>
    </w:p>
    <w:p w14:paraId="28F4518B" w14:textId="77777777" w:rsidR="0050181D" w:rsidRPr="0050181D" w:rsidRDefault="0050181D" w:rsidP="0050181D">
      <w:r w:rsidRPr="0050181D">
        <w:t>Last year Rabobank calculated that a $150 billion intergenerational transfer of wealth is pending in the next decade as more than half of New Zealand’s farm and orchard owners – approximately 17,320 – reach 65 years old, after which many will seek to transfer ownership of their land.</w:t>
      </w:r>
    </w:p>
    <w:p w14:paraId="3FE9060E" w14:textId="77777777" w:rsidR="0050181D" w:rsidRPr="0050181D" w:rsidRDefault="0050181D" w:rsidP="0050181D">
      <w:r w:rsidRPr="0050181D">
        <w:lastRenderedPageBreak/>
        <w:t>While dairy has a well-established succession process that has assisted young people onto the property ladder, a lack of consistent profitability has prevented a similar stepping stone for sheep and beef farming.</w:t>
      </w:r>
    </w:p>
    <w:p w14:paraId="699A28A4" w14:textId="77777777" w:rsidR="0050181D" w:rsidRPr="0050181D" w:rsidRDefault="0050181D" w:rsidP="0050181D">
      <w:r w:rsidRPr="0050181D">
        <w:t>However, in recent years economic conditions have improved markedly and, as Farmers Weekly has reported, the global decline in livestock numbers and continued demand for meat in particular should sustain short-term demand and prices above historic levels.</w:t>
      </w:r>
    </w:p>
    <w:p w14:paraId="5A160873" w14:textId="77777777" w:rsidR="0050181D" w:rsidRPr="0050181D" w:rsidRDefault="0050181D" w:rsidP="0050181D">
      <w:r w:rsidRPr="0050181D">
        <w:t>Given these improved economic conditions, it is understandable, as we reported last week, that PGG Wrightson rural real estate Canterbury consultant Dan van der Salm has noticed larger numbers of young farmers entering the market, bringing with them a sharper commercial lens.</w:t>
      </w:r>
    </w:p>
    <w:p w14:paraId="1A4EFAB2" w14:textId="77777777" w:rsidR="0050181D" w:rsidRPr="0050181D" w:rsidRDefault="0050181D" w:rsidP="0050181D">
      <w:r w:rsidRPr="0050181D">
        <w:t>While farming has traditionally been built on long-term thinking, he says, younger farm buyers are less anchored to historical land values and focused more on future return on investment and value determined by current and future markets.</w:t>
      </w:r>
    </w:p>
    <w:p w14:paraId="62F44D1D" w14:textId="77777777" w:rsidR="0050181D" w:rsidRPr="0050181D" w:rsidRDefault="0050181D" w:rsidP="0050181D">
      <w:r w:rsidRPr="0050181D">
        <w:t>The story also reported that banks appear more receptive to lending to young farmers, whether they be dairy, sheep or beef.</w:t>
      </w:r>
    </w:p>
    <w:p w14:paraId="513F3231" w14:textId="77777777" w:rsidR="0050181D" w:rsidRPr="0050181D" w:rsidRDefault="0050181D" w:rsidP="0050181D">
      <w:r w:rsidRPr="0050181D">
        <w:t>Banks are also lending for larger-scale operations than previously, as long as it provides a strong return on investment.</w:t>
      </w:r>
    </w:p>
    <w:p w14:paraId="007567C8" w14:textId="77777777" w:rsidR="0050181D" w:rsidRPr="0050181D" w:rsidRDefault="0050181D" w:rsidP="0050181D">
      <w:r w:rsidRPr="0050181D">
        <w:t>This is a welcome shift by banks towards supporting the next generation of farmers. </w:t>
      </w:r>
    </w:p>
    <w:p w14:paraId="331B1F4D" w14:textId="77777777" w:rsidR="0050181D" w:rsidRPr="0050181D" w:rsidRDefault="0050181D" w:rsidP="0050181D">
      <w:r w:rsidRPr="0050181D">
        <w:t>Given the ageing population, especially in the sheep and beef farmers, there could be an element self-interest among banks, as a large number of properties will be changing hands in the coming years.</w:t>
      </w:r>
    </w:p>
    <w:p w14:paraId="328C96EE" w14:textId="77777777" w:rsidR="0050181D" w:rsidRPr="0050181D" w:rsidRDefault="0050181D" w:rsidP="0050181D">
      <w:r w:rsidRPr="0050181D">
        <w:t>There are also reports of more farm succession activity prompted by Fonterra’s capital payout and a once-in-a-generation opportunity to restructure farm ownership.</w:t>
      </w:r>
    </w:p>
    <w:p w14:paraId="5686F227" w14:textId="77777777" w:rsidR="0050181D" w:rsidRPr="0050181D" w:rsidRDefault="0050181D" w:rsidP="0050181D">
      <w:r w:rsidRPr="0050181D">
        <w:t>The flip side of those high confidence levels and record farmgate prices is that livestock valuations make it more expensive for buyers.</w:t>
      </w:r>
    </w:p>
    <w:p w14:paraId="1204A184" w14:textId="77777777" w:rsidR="0050181D" w:rsidRPr="0050181D" w:rsidRDefault="0050181D" w:rsidP="0050181D">
      <w:r w:rsidRPr="0050181D">
        <w:t>This raises questions about how long this commodity cycle will last and what the size of any correction will be.</w:t>
      </w:r>
    </w:p>
    <w:p w14:paraId="56B510EE" w14:textId="77777777" w:rsidR="0050181D" w:rsidRPr="0050181D" w:rsidRDefault="0050181D" w:rsidP="0050181D">
      <w:r w:rsidRPr="0050181D">
        <w:t>As those farmers nearing the end of their careers will have seen on multiple occasions, what goes up will always come down.</w:t>
      </w:r>
    </w:p>
    <w:p w14:paraId="7B575B57" w14:textId="77777777" w:rsidR="0050181D" w:rsidRPr="0050181D" w:rsidRDefault="0050181D" w:rsidP="0050181D">
      <w:r w:rsidRPr="0050181D">
        <w:t>This time, there appears to be a fundamental shift in international meat and dairy prices and demand on the back of changes in diet and falling global livestock numbers.</w:t>
      </w:r>
    </w:p>
    <w:p w14:paraId="6158137C" w14:textId="77777777" w:rsidR="0050181D" w:rsidRPr="0050181D" w:rsidRDefault="0050181D" w:rsidP="0050181D">
      <w:r w:rsidRPr="0050181D">
        <w:t>Farm buyers and banks will be hoping that translates into some long-term stability.</w:t>
      </w:r>
    </w:p>
    <w:p w14:paraId="52D0E2BC" w14:textId="77777777" w:rsidR="002D76AE" w:rsidRDefault="002D76AE"/>
    <w:p w14:paraId="32E6297B" w14:textId="77777777" w:rsidR="0087347B" w:rsidRDefault="0087347B"/>
    <w:p w14:paraId="51053DD2" w14:textId="4DD844B0" w:rsidR="0087347B" w:rsidRPr="0050181D" w:rsidRDefault="0087347B" w:rsidP="0087347B">
      <w:pPr>
        <w:rPr>
          <w:b/>
          <w:bCs/>
        </w:rPr>
      </w:pPr>
      <w:r>
        <w:rPr>
          <w:b/>
          <w:bCs/>
        </w:rPr>
        <w:lastRenderedPageBreak/>
        <w:t>Answers</w:t>
      </w:r>
    </w:p>
    <w:p w14:paraId="51218B16" w14:textId="77777777" w:rsidR="0087347B" w:rsidRPr="00982F01" w:rsidRDefault="0087347B" w:rsidP="0087347B">
      <w:pPr>
        <w:numPr>
          <w:ilvl w:val="0"/>
          <w:numId w:val="7"/>
        </w:numPr>
        <w:tabs>
          <w:tab w:val="clear" w:pos="720"/>
          <w:tab w:val="num" w:pos="360"/>
        </w:tabs>
        <w:ind w:left="360"/>
        <w:rPr>
          <w:b/>
          <w:bCs/>
        </w:rPr>
      </w:pPr>
      <w:r w:rsidRPr="00982F01">
        <w:rPr>
          <w:b/>
          <w:bCs/>
        </w:rPr>
        <w:t>What is the median age of New Zealand farmers according to the 2023 Stats NZ data, and by what percentage did the number of farmers aged 65 and over increase between 2013 and 2023?</w:t>
      </w:r>
    </w:p>
    <w:p w14:paraId="77351A85" w14:textId="4D20ECDA" w:rsidR="0087347B" w:rsidRPr="004A6EAB" w:rsidRDefault="0087347B" w:rsidP="0087347B">
      <w:pPr>
        <w:numPr>
          <w:ilvl w:val="0"/>
          <w:numId w:val="8"/>
        </w:numPr>
        <w:tabs>
          <w:tab w:val="clear" w:pos="720"/>
        </w:tabs>
        <w:rPr>
          <w:i/>
          <w:iCs/>
        </w:rPr>
      </w:pPr>
      <w:r w:rsidRPr="004A6EAB">
        <w:rPr>
          <w:i/>
          <w:iCs/>
        </w:rPr>
        <w:t>Median Age (2023): 49.8 years old (up one year from 2018).</w:t>
      </w:r>
    </w:p>
    <w:p w14:paraId="4B475EB8" w14:textId="498A91E2" w:rsidR="0087347B" w:rsidRPr="004A6EAB" w:rsidRDefault="0087347B" w:rsidP="0087347B">
      <w:pPr>
        <w:numPr>
          <w:ilvl w:val="0"/>
          <w:numId w:val="8"/>
        </w:numPr>
        <w:tabs>
          <w:tab w:val="clear" w:pos="720"/>
        </w:tabs>
        <w:rPr>
          <w:i/>
          <w:iCs/>
        </w:rPr>
      </w:pPr>
      <w:r w:rsidRPr="004A6EAB">
        <w:rPr>
          <w:i/>
          <w:iCs/>
        </w:rPr>
        <w:t>Percentage Increase (Aged 65+): The number of farmers aged 65 and over increased by 66% between 2013 and 2023.</w:t>
      </w:r>
    </w:p>
    <w:p w14:paraId="0EE1B71E" w14:textId="77777777" w:rsidR="0087347B" w:rsidRPr="00982F01" w:rsidRDefault="0087347B" w:rsidP="0087347B">
      <w:pPr>
        <w:numPr>
          <w:ilvl w:val="0"/>
          <w:numId w:val="7"/>
        </w:numPr>
        <w:tabs>
          <w:tab w:val="clear" w:pos="720"/>
          <w:tab w:val="num" w:pos="360"/>
        </w:tabs>
        <w:ind w:left="360"/>
        <w:rPr>
          <w:b/>
          <w:bCs/>
        </w:rPr>
      </w:pPr>
      <w:r w:rsidRPr="00982F01">
        <w:rPr>
          <w:b/>
          <w:bCs/>
        </w:rPr>
        <w:t>Contrast the median age of dairy farmers with that of sheep and beef farmers. Why has succession historically been more accessible in the dairy sector compared to sheep and beef?</w:t>
      </w:r>
    </w:p>
    <w:p w14:paraId="07FC8B30" w14:textId="7C33244A" w:rsidR="004A6EAB" w:rsidRPr="004A6EAB" w:rsidRDefault="004A6EAB" w:rsidP="004A6EAB">
      <w:pPr>
        <w:ind w:left="360"/>
        <w:rPr>
          <w:i/>
          <w:iCs/>
        </w:rPr>
      </w:pPr>
      <w:r w:rsidRPr="004A6EAB">
        <w:rPr>
          <w:i/>
          <w:iCs/>
        </w:rPr>
        <w:t>Dairy farmers have a significantly lower median age of 41, whereas sheep farmers have a median age of 55.8 and beef farmers 62.2.</w:t>
      </w:r>
      <w:r>
        <w:rPr>
          <w:i/>
          <w:iCs/>
        </w:rPr>
        <w:t xml:space="preserve">  </w:t>
      </w:r>
      <w:r w:rsidRPr="004A6EAB">
        <w:rPr>
          <w:i/>
          <w:iCs/>
        </w:rPr>
        <w:t>Dairy farming has had a well-established pathways/stepping-stone progression model (e.g., herd-owning sharemilking and equity partnerships) that helps young people transition onto the property ladder. In contrast, sheep and beef farming historically lacked consistent, strong profitability to support equivalent stepping stones.</w:t>
      </w:r>
    </w:p>
    <w:p w14:paraId="043AB180" w14:textId="77777777" w:rsidR="0087347B" w:rsidRPr="00982F01" w:rsidRDefault="0087347B" w:rsidP="0087347B">
      <w:pPr>
        <w:numPr>
          <w:ilvl w:val="0"/>
          <w:numId w:val="7"/>
        </w:numPr>
        <w:tabs>
          <w:tab w:val="clear" w:pos="720"/>
          <w:tab w:val="num" w:pos="360"/>
        </w:tabs>
        <w:ind w:left="360"/>
        <w:rPr>
          <w:b/>
          <w:bCs/>
        </w:rPr>
      </w:pPr>
      <w:r w:rsidRPr="00982F01">
        <w:rPr>
          <w:b/>
          <w:bCs/>
        </w:rPr>
        <w:t>According to Rabobank estimates, what is the total value of intergenerational wealth expected to be transferred over the next decade, and approximately how many farm and orchard owners will reach age 65?</w:t>
      </w:r>
    </w:p>
    <w:p w14:paraId="04A58BE3" w14:textId="5EE95461" w:rsidR="004A6EAB" w:rsidRPr="004A6EAB" w:rsidRDefault="004A6EAB" w:rsidP="004A6EAB">
      <w:pPr>
        <w:numPr>
          <w:ilvl w:val="0"/>
          <w:numId w:val="8"/>
        </w:numPr>
        <w:tabs>
          <w:tab w:val="clear" w:pos="720"/>
        </w:tabs>
        <w:rPr>
          <w:i/>
          <w:iCs/>
        </w:rPr>
      </w:pPr>
      <w:r w:rsidRPr="004A6EAB">
        <w:rPr>
          <w:i/>
          <w:iCs/>
        </w:rPr>
        <w:t>Approximately $150 billion in intergenerational wealth transfer is pending over the next decade.</w:t>
      </w:r>
    </w:p>
    <w:p w14:paraId="5DF4397D" w14:textId="3856EA60" w:rsidR="004A6EAB" w:rsidRPr="004A6EAB" w:rsidRDefault="004A6EAB" w:rsidP="004A6EAB">
      <w:pPr>
        <w:numPr>
          <w:ilvl w:val="0"/>
          <w:numId w:val="8"/>
        </w:numPr>
        <w:tabs>
          <w:tab w:val="clear" w:pos="720"/>
        </w:tabs>
        <w:rPr>
          <w:i/>
          <w:iCs/>
        </w:rPr>
      </w:pPr>
      <w:r w:rsidRPr="004A6EAB">
        <w:rPr>
          <w:i/>
          <w:iCs/>
        </w:rPr>
        <w:t>More than half of New Zealand’s farm and orchard owners—approximately 17,320 owners—will reach 65 years old.</w:t>
      </w:r>
    </w:p>
    <w:p w14:paraId="5AB8266F" w14:textId="77777777" w:rsidR="0087347B" w:rsidRPr="00982F01" w:rsidRDefault="0087347B" w:rsidP="007276D0">
      <w:pPr>
        <w:numPr>
          <w:ilvl w:val="0"/>
          <w:numId w:val="7"/>
        </w:numPr>
        <w:tabs>
          <w:tab w:val="clear" w:pos="720"/>
          <w:tab w:val="num" w:pos="360"/>
        </w:tabs>
        <w:ind w:left="360"/>
        <w:rPr>
          <w:b/>
          <w:bCs/>
        </w:rPr>
      </w:pPr>
      <w:r w:rsidRPr="00982F01">
        <w:rPr>
          <w:b/>
          <w:bCs/>
        </w:rPr>
        <w:t>Dan van der Salm from PGG Wrightson highlights a difference in how younger farmers evaluate property compared to older generations. Explain how the "commercial lens" of younger buyers differs from traditional views on land value.</w:t>
      </w:r>
    </w:p>
    <w:p w14:paraId="6934E001" w14:textId="7350F4B1" w:rsidR="007276D0" w:rsidRPr="007276D0" w:rsidRDefault="007276D0" w:rsidP="007276D0">
      <w:pPr>
        <w:ind w:left="360"/>
        <w:rPr>
          <w:i/>
          <w:iCs/>
        </w:rPr>
      </w:pPr>
      <w:r w:rsidRPr="007276D0">
        <w:rPr>
          <w:i/>
          <w:iCs/>
        </w:rPr>
        <w:t>Traditional views on land value were heavily anchored in historical land values, long-term multi-generational thinking, and land longevity. In contrast, younger buyers bring a sharper commercial lens: they are less attached to historical land figures and focus primarily on future return on investment (ROI), actual market yield, and value determined by current and projected global commodity markets.</w:t>
      </w:r>
    </w:p>
    <w:p w14:paraId="21D66368" w14:textId="77777777" w:rsidR="00BB3C90" w:rsidRDefault="00BB3C90">
      <w:pPr>
        <w:rPr>
          <w:b/>
          <w:bCs/>
        </w:rPr>
      </w:pPr>
      <w:r>
        <w:rPr>
          <w:b/>
          <w:bCs/>
        </w:rPr>
        <w:br w:type="page"/>
      </w:r>
    </w:p>
    <w:p w14:paraId="65A74D3C" w14:textId="25B813A5" w:rsidR="0087347B" w:rsidRPr="00BB3C90" w:rsidRDefault="0087347B" w:rsidP="007276D0">
      <w:pPr>
        <w:numPr>
          <w:ilvl w:val="0"/>
          <w:numId w:val="7"/>
        </w:numPr>
        <w:tabs>
          <w:tab w:val="clear" w:pos="720"/>
          <w:tab w:val="num" w:pos="360"/>
        </w:tabs>
        <w:ind w:left="360"/>
        <w:rPr>
          <w:b/>
          <w:bCs/>
        </w:rPr>
      </w:pPr>
      <w:r w:rsidRPr="00BB3C90">
        <w:rPr>
          <w:b/>
          <w:bCs/>
        </w:rPr>
        <w:lastRenderedPageBreak/>
        <w:t>What shift have banks made regarding lending to younger farmers and larger-scale operations, and why might banks have a self-interest in facilitating this transition now?</w:t>
      </w:r>
    </w:p>
    <w:p w14:paraId="637C0EE5" w14:textId="7E1C7E95" w:rsidR="007276D0" w:rsidRPr="007276D0" w:rsidRDefault="007276D0" w:rsidP="007276D0">
      <w:pPr>
        <w:ind w:left="360"/>
        <w:rPr>
          <w:i/>
          <w:iCs/>
        </w:rPr>
      </w:pPr>
      <w:r w:rsidRPr="007276D0">
        <w:rPr>
          <w:i/>
          <w:iCs/>
        </w:rPr>
        <w:t>Banks have become more receptive and supportive of lending to younger farmers for buy-ins, including larger-scale operations, provided there is a strong return on investment (ROI).</w:t>
      </w:r>
      <w:r>
        <w:rPr>
          <w:i/>
          <w:iCs/>
        </w:rPr>
        <w:t xml:space="preserve">  </w:t>
      </w:r>
      <w:r w:rsidRPr="007276D0">
        <w:rPr>
          <w:i/>
          <w:iCs/>
        </w:rPr>
        <w:t>With an aging farming population (especially in sheep and beef) and a massive pending wealth transfer, banks recogni</w:t>
      </w:r>
      <w:r>
        <w:rPr>
          <w:i/>
          <w:iCs/>
        </w:rPr>
        <w:t>s</w:t>
      </w:r>
      <w:r w:rsidRPr="007276D0">
        <w:rPr>
          <w:i/>
          <w:iCs/>
        </w:rPr>
        <w:t>e that thousands of farm properties will change hands in the coming years. Proactively financing younger, commercially minded buyers secures the banks' future loan portfolios and client base.</w:t>
      </w:r>
    </w:p>
    <w:p w14:paraId="5E4AD9A0" w14:textId="77777777" w:rsidR="0087347B" w:rsidRPr="00BB3C90" w:rsidRDefault="0087347B" w:rsidP="007276D0">
      <w:pPr>
        <w:numPr>
          <w:ilvl w:val="0"/>
          <w:numId w:val="7"/>
        </w:numPr>
        <w:tabs>
          <w:tab w:val="clear" w:pos="720"/>
          <w:tab w:val="num" w:pos="360"/>
        </w:tabs>
        <w:ind w:left="360"/>
        <w:rPr>
          <w:b/>
          <w:bCs/>
        </w:rPr>
      </w:pPr>
      <w:r w:rsidRPr="00BB3C90">
        <w:rPr>
          <w:b/>
          <w:bCs/>
        </w:rPr>
        <w:t>Banks are increasingly receptive to lending to young farmers for larger-scale operations, provided there is a strong return on investment. Recommend how structuring the agribusiness as a Limited Liability Company rather than a Sole Trader helps meet the strategic goal of securing bank funding for succession.</w:t>
      </w:r>
    </w:p>
    <w:p w14:paraId="70F3BBC0" w14:textId="77777777" w:rsidR="00982F01" w:rsidRPr="00982F01" w:rsidRDefault="00982F01" w:rsidP="00982F01">
      <w:pPr>
        <w:ind w:left="360"/>
        <w:rPr>
          <w:i/>
          <w:iCs/>
        </w:rPr>
      </w:pPr>
      <w:r w:rsidRPr="00982F01">
        <w:rPr>
          <w:i/>
          <w:iCs/>
        </w:rPr>
        <w:t>A Limited Liability Company (LLC) provides a formal corporate structure with clear financial separation, professional governance (board/directors), and transparent share allocations.</w:t>
      </w:r>
    </w:p>
    <w:p w14:paraId="5176A810" w14:textId="77777777" w:rsidR="00982F01" w:rsidRPr="00982F01" w:rsidRDefault="00982F01" w:rsidP="00982F01">
      <w:pPr>
        <w:ind w:left="360"/>
      </w:pPr>
      <w:r w:rsidRPr="00982F01">
        <w:rPr>
          <w:i/>
          <w:iCs/>
        </w:rPr>
        <w:t>When seeking bank funding, an LLC:</w:t>
      </w:r>
    </w:p>
    <w:p w14:paraId="501A5CA1" w14:textId="77777777" w:rsidR="00982F01" w:rsidRPr="00982F01" w:rsidRDefault="00982F01" w:rsidP="00982F01">
      <w:pPr>
        <w:numPr>
          <w:ilvl w:val="0"/>
          <w:numId w:val="9"/>
        </w:numPr>
        <w:rPr>
          <w:i/>
          <w:iCs/>
        </w:rPr>
      </w:pPr>
      <w:r w:rsidRPr="00982F01">
        <w:rPr>
          <w:i/>
          <w:iCs/>
        </w:rPr>
        <w:t>Demonstrates clear accountability and risk management rather than relying on a single individual's personal balance sheet (as in a Sole Trader).</w:t>
      </w:r>
    </w:p>
    <w:p w14:paraId="1E607F22" w14:textId="77777777" w:rsidR="00982F01" w:rsidRPr="00982F01" w:rsidRDefault="00982F01" w:rsidP="00982F01">
      <w:pPr>
        <w:numPr>
          <w:ilvl w:val="0"/>
          <w:numId w:val="9"/>
        </w:numPr>
        <w:rPr>
          <w:i/>
          <w:iCs/>
        </w:rPr>
      </w:pPr>
      <w:r w:rsidRPr="00982F01">
        <w:rPr>
          <w:i/>
          <w:iCs/>
        </w:rPr>
        <w:t>Enables phased capital entry—banks can lend against specific share tranches or business performance metrics rather than requiring the young farmer to leverage everything up front for a 100% buy-out.</w:t>
      </w:r>
    </w:p>
    <w:p w14:paraId="76F9EB61" w14:textId="77777777" w:rsidR="00982F01" w:rsidRPr="00982F01" w:rsidRDefault="00982F01" w:rsidP="00982F01">
      <w:pPr>
        <w:numPr>
          <w:ilvl w:val="0"/>
          <w:numId w:val="9"/>
        </w:numPr>
        <w:rPr>
          <w:i/>
          <w:iCs/>
        </w:rPr>
      </w:pPr>
      <w:r w:rsidRPr="00982F01">
        <w:rPr>
          <w:i/>
          <w:iCs/>
        </w:rPr>
        <w:t>Offers continuity of business existence, giving lenders confidence that debt repayment isn't tied solely to one person's health or capability.</w:t>
      </w:r>
    </w:p>
    <w:p w14:paraId="788BBF5D" w14:textId="77777777" w:rsidR="0087347B" w:rsidRPr="00BB3C90" w:rsidRDefault="0087347B" w:rsidP="00982F01">
      <w:pPr>
        <w:numPr>
          <w:ilvl w:val="0"/>
          <w:numId w:val="7"/>
        </w:numPr>
        <w:tabs>
          <w:tab w:val="clear" w:pos="720"/>
          <w:tab w:val="num" w:pos="360"/>
        </w:tabs>
        <w:ind w:left="360"/>
        <w:rPr>
          <w:b/>
          <w:bCs/>
        </w:rPr>
      </w:pPr>
      <w:r w:rsidRPr="00BB3C90">
        <w:rPr>
          <w:b/>
          <w:bCs/>
        </w:rPr>
        <w:t>What specific corporate event mentioned in the article provided some dairy farmers with a unique opportunity to restructure farm ownership?</w:t>
      </w:r>
    </w:p>
    <w:p w14:paraId="075C8FC6" w14:textId="3AF202EE" w:rsidR="00982F01" w:rsidRDefault="00982F01" w:rsidP="00982F01">
      <w:pPr>
        <w:ind w:left="360"/>
        <w:rPr>
          <w:i/>
          <w:iCs/>
        </w:rPr>
      </w:pPr>
      <w:r w:rsidRPr="00982F01">
        <w:rPr>
          <w:i/>
          <w:iCs/>
        </w:rPr>
        <w:t>The Fonterra capital payout provided some dairy farm owners with a once-in-a-generation liquidity event and cash injection, creating a unique opportunity to restructure farm ownership and assist with succession.</w:t>
      </w:r>
    </w:p>
    <w:p w14:paraId="243956BC" w14:textId="77777777" w:rsidR="0087347B" w:rsidRPr="00BB3C90" w:rsidRDefault="0087347B" w:rsidP="00982F01">
      <w:pPr>
        <w:numPr>
          <w:ilvl w:val="0"/>
          <w:numId w:val="7"/>
        </w:numPr>
        <w:tabs>
          <w:tab w:val="clear" w:pos="720"/>
          <w:tab w:val="num" w:pos="360"/>
        </w:tabs>
        <w:ind w:left="360"/>
        <w:rPr>
          <w:b/>
          <w:bCs/>
        </w:rPr>
      </w:pPr>
      <w:r w:rsidRPr="00BB3C90">
        <w:rPr>
          <w:b/>
          <w:bCs/>
        </w:rPr>
        <w:t>High farmgate prices and improved profitability are attracting young farmers, but what financial challenges do these same market conditions create for someone trying to buy into a farming operation?</w:t>
      </w:r>
    </w:p>
    <w:p w14:paraId="28DCEB1C" w14:textId="0927D45E" w:rsidR="00982F01" w:rsidRDefault="00982F01" w:rsidP="00982F01">
      <w:pPr>
        <w:ind w:left="360"/>
        <w:rPr>
          <w:i/>
          <w:iCs/>
        </w:rPr>
      </w:pPr>
      <w:r w:rsidRPr="00982F01">
        <w:rPr>
          <w:i/>
          <w:iCs/>
        </w:rPr>
        <w:t xml:space="preserve">While high farmgate prices boost farm revenue, they simultaneously push up livestock valuations and land values. This makes entry costs exceptionally high for </w:t>
      </w:r>
      <w:r w:rsidRPr="00982F01">
        <w:rPr>
          <w:i/>
          <w:iCs/>
        </w:rPr>
        <w:lastRenderedPageBreak/>
        <w:t>young buyers, requiring them to service significantly larger debt loads and raising the risk if commodity prices drop or correct in the future.</w:t>
      </w:r>
    </w:p>
    <w:p w14:paraId="46C13F31" w14:textId="77777777" w:rsidR="0087347B" w:rsidRPr="00BB3C90" w:rsidRDefault="0087347B" w:rsidP="00BB3C90">
      <w:pPr>
        <w:numPr>
          <w:ilvl w:val="0"/>
          <w:numId w:val="7"/>
        </w:numPr>
        <w:tabs>
          <w:tab w:val="clear" w:pos="720"/>
          <w:tab w:val="num" w:pos="360"/>
        </w:tabs>
        <w:ind w:left="360"/>
        <w:rPr>
          <w:b/>
          <w:bCs/>
        </w:rPr>
      </w:pPr>
      <w:r w:rsidRPr="00BB3C90">
        <w:rPr>
          <w:b/>
          <w:bCs/>
        </w:rPr>
        <w:t>High farmgate prices and high livestock valuations make entering ownership expensive for young buyers. Explain how a Partnership between a retiring farmer and a young farmer impacts financial risk exposure for both parties compared to a Company Structure where the young farmer buys minority shares over time.</w:t>
      </w:r>
    </w:p>
    <w:p w14:paraId="4FEDE582" w14:textId="24770A7F" w:rsidR="00BB3C90" w:rsidRPr="00BB3C90" w:rsidRDefault="00BB3C90" w:rsidP="00BB3C90">
      <w:pPr>
        <w:ind w:left="360"/>
        <w:rPr>
          <w:i/>
          <w:iCs/>
        </w:rPr>
      </w:pPr>
      <w:r w:rsidRPr="00BB3C90">
        <w:rPr>
          <w:i/>
          <w:iCs/>
        </w:rPr>
        <w:t>Under a Partnership, both partners share personal, joint, and several liability. If market conditions deteriorate or livestock valuations drop suddenly, the young partner's personal assets are exposed to full business debt, while the retiring partner remains personally liable for operational liabilities and management actions.</w:t>
      </w:r>
    </w:p>
    <w:p w14:paraId="748A7F3F" w14:textId="482E2FC7" w:rsidR="00BB3C90" w:rsidRPr="00BB3C90" w:rsidRDefault="00BB3C90" w:rsidP="00BB3C90">
      <w:pPr>
        <w:ind w:left="360"/>
        <w:rPr>
          <w:i/>
          <w:iCs/>
        </w:rPr>
      </w:pPr>
      <w:r w:rsidRPr="00BB3C90">
        <w:rPr>
          <w:i/>
          <w:iCs/>
        </w:rPr>
        <w:t>A Limited Liability Company caps financial risk to the value of shares held. A young farmer buying minority shares over time only takes on debt for the specific equity block purchased. If livestock prices crash, liability does not spill into personal non-farm assets, and the retiring farmer can gradually reduce exposure without taking on the personal financial liabilities of the new entrant.</w:t>
      </w:r>
    </w:p>
    <w:p w14:paraId="7EA20CEB" w14:textId="77777777" w:rsidR="0087347B" w:rsidRDefault="0087347B" w:rsidP="00BB3C90">
      <w:pPr>
        <w:numPr>
          <w:ilvl w:val="0"/>
          <w:numId w:val="7"/>
        </w:numPr>
        <w:tabs>
          <w:tab w:val="clear" w:pos="720"/>
          <w:tab w:val="num" w:pos="360"/>
        </w:tabs>
        <w:ind w:left="360"/>
        <w:rPr>
          <w:b/>
          <w:bCs/>
        </w:rPr>
      </w:pPr>
      <w:r w:rsidRPr="00BB3C90">
        <w:rPr>
          <w:b/>
          <w:bCs/>
        </w:rPr>
        <w:t>Older generations of farmers have seen multiple price cycles go up and down. What global market factors suggest that current meat and dairy demand might represent a long-term structural shift rather than just a short-term price boom?</w:t>
      </w:r>
    </w:p>
    <w:p w14:paraId="5D00DD13" w14:textId="39F6D41B" w:rsidR="00BB3C90" w:rsidRPr="00BB3C90" w:rsidRDefault="00BB3C90" w:rsidP="00BB3C90">
      <w:pPr>
        <w:ind w:left="360"/>
        <w:rPr>
          <w:i/>
          <w:iCs/>
        </w:rPr>
      </w:pPr>
      <w:r w:rsidRPr="00BB3C90">
        <w:rPr>
          <w:i/>
          <w:iCs/>
        </w:rPr>
        <w:t>Changes in global dietary habits and demand for quality protein</w:t>
      </w:r>
      <w:r>
        <w:rPr>
          <w:i/>
          <w:iCs/>
        </w:rPr>
        <w:t>; and f</w:t>
      </w:r>
      <w:r w:rsidRPr="00BB3C90">
        <w:rPr>
          <w:i/>
          <w:iCs/>
        </w:rPr>
        <w:t>alling global livestock numbers, creating a structural supply shortage that underpins meat and dairy prices above historic averages rather than just a temporary spike.</w:t>
      </w:r>
    </w:p>
    <w:p w14:paraId="29D69692" w14:textId="77777777" w:rsidR="0087347B" w:rsidRDefault="0087347B" w:rsidP="00BB3C90">
      <w:pPr>
        <w:numPr>
          <w:ilvl w:val="0"/>
          <w:numId w:val="7"/>
        </w:numPr>
        <w:tabs>
          <w:tab w:val="clear" w:pos="720"/>
          <w:tab w:val="num" w:pos="360"/>
        </w:tabs>
        <w:ind w:left="360"/>
        <w:rPr>
          <w:b/>
          <w:bCs/>
        </w:rPr>
      </w:pPr>
      <w:r w:rsidRPr="00BB3C90">
        <w:rPr>
          <w:b/>
          <w:bCs/>
        </w:rPr>
        <w:t>If you were advising a young farmer considering entering a sheep and beef operation today, what three key financial or market factors from this article would you tell them to analyse before taking on debt?</w:t>
      </w:r>
    </w:p>
    <w:p w14:paraId="40735CFC" w14:textId="243CCA83" w:rsidR="00BB3C90" w:rsidRPr="00BB3C90" w:rsidRDefault="00BB3C90" w:rsidP="00BB3C90">
      <w:pPr>
        <w:numPr>
          <w:ilvl w:val="0"/>
          <w:numId w:val="9"/>
        </w:numPr>
        <w:rPr>
          <w:i/>
          <w:iCs/>
        </w:rPr>
      </w:pPr>
      <w:r w:rsidRPr="00BB3C90">
        <w:rPr>
          <w:i/>
          <w:iCs/>
        </w:rPr>
        <w:t>Evaluating whether projected farm earnings can comfortably cover high debt servicing costs caused by elevated livestock valuations and land prices.</w:t>
      </w:r>
    </w:p>
    <w:p w14:paraId="24C314A1" w14:textId="7809BE1E" w:rsidR="00BB3C90" w:rsidRPr="00BB3C90" w:rsidRDefault="00BB3C90" w:rsidP="00BB3C90">
      <w:pPr>
        <w:numPr>
          <w:ilvl w:val="0"/>
          <w:numId w:val="9"/>
        </w:numPr>
        <w:rPr>
          <w:i/>
          <w:iCs/>
        </w:rPr>
      </w:pPr>
      <w:r w:rsidRPr="00BB3C90">
        <w:rPr>
          <w:i/>
          <w:iCs/>
        </w:rPr>
        <w:t>Analy</w:t>
      </w:r>
      <w:r>
        <w:rPr>
          <w:i/>
          <w:iCs/>
        </w:rPr>
        <w:t>s</w:t>
      </w:r>
      <w:r w:rsidRPr="00BB3C90">
        <w:rPr>
          <w:i/>
          <w:iCs/>
        </w:rPr>
        <w:t>ing how resilient the farm’s cash flow would be if global meat and dairy prices undergo a downward market correction from current record highs.</w:t>
      </w:r>
    </w:p>
    <w:p w14:paraId="0C4FC7A4" w14:textId="7BCD7B39" w:rsidR="00BB3C90" w:rsidRPr="00BB3C90" w:rsidRDefault="00BB3C90" w:rsidP="00BB3C90">
      <w:pPr>
        <w:numPr>
          <w:ilvl w:val="0"/>
          <w:numId w:val="9"/>
        </w:numPr>
        <w:rPr>
          <w:i/>
          <w:iCs/>
        </w:rPr>
      </w:pPr>
      <w:r w:rsidRPr="00BB3C90">
        <w:rPr>
          <w:i/>
          <w:iCs/>
        </w:rPr>
        <w:t>Assessing structural market trends—such as global livestock decline and dietary shifts—to determine whether farmgate price projections are realistic over a 5- to 10-year investment horizon.</w:t>
      </w:r>
    </w:p>
    <w:p w14:paraId="285B3AFA" w14:textId="285D97EE" w:rsidR="0087347B" w:rsidRDefault="0087347B" w:rsidP="00BB3C90">
      <w:pPr>
        <w:numPr>
          <w:ilvl w:val="0"/>
          <w:numId w:val="7"/>
        </w:numPr>
        <w:tabs>
          <w:tab w:val="clear" w:pos="720"/>
          <w:tab w:val="num" w:pos="360"/>
        </w:tabs>
        <w:ind w:left="360"/>
        <w:rPr>
          <w:b/>
          <w:bCs/>
        </w:rPr>
      </w:pPr>
      <w:r w:rsidRPr="00BB3C90">
        <w:rPr>
          <w:b/>
          <w:bCs/>
        </w:rPr>
        <w:t xml:space="preserve">Many older sheep and beef farms operate under traditional Sole Trader or Partnership structures, while larger modern farming operations use Limited Liability Companies or Trading Trusts. </w:t>
      </w:r>
      <w:r w:rsidR="00BB3C90">
        <w:rPr>
          <w:b/>
          <w:bCs/>
        </w:rPr>
        <w:t xml:space="preserve"> E</w:t>
      </w:r>
      <w:r w:rsidRPr="00BB3C90">
        <w:rPr>
          <w:b/>
          <w:bCs/>
        </w:rPr>
        <w:t>xplain how a sole trader/partnership structure might impact a retiring farmer’s ability to execute a smooth succession plan compared to a Limited Liability Company.</w:t>
      </w:r>
    </w:p>
    <w:p w14:paraId="0CA98602" w14:textId="37056095" w:rsidR="0078531C" w:rsidRPr="0078531C" w:rsidRDefault="0078531C" w:rsidP="0078531C">
      <w:pPr>
        <w:ind w:left="360"/>
        <w:rPr>
          <w:i/>
          <w:iCs/>
        </w:rPr>
      </w:pPr>
      <w:r w:rsidRPr="0078531C">
        <w:rPr>
          <w:i/>
          <w:iCs/>
        </w:rPr>
        <w:lastRenderedPageBreak/>
        <w:t>Sole Trader / Traditional Partnership: These structures lack flexibility because ownership is binary—the retiring farmer either owns 100% or has to sell the entire entity/land outright. This presents a massive financial hurdle for a young buyer who cannot afford the whole property at once, leading to delayed succession or forced full sales to external corporate buyers.</w:t>
      </w:r>
    </w:p>
    <w:p w14:paraId="5E86BEE9" w14:textId="0E6FB072" w:rsidR="0078531C" w:rsidRPr="0078531C" w:rsidRDefault="0078531C" w:rsidP="0078531C">
      <w:pPr>
        <w:ind w:left="360"/>
        <w:rPr>
          <w:i/>
          <w:iCs/>
        </w:rPr>
      </w:pPr>
      <w:r w:rsidRPr="0078531C">
        <w:rPr>
          <w:i/>
          <w:iCs/>
        </w:rPr>
        <w:t>Limited Liability Company: An LLC divides farm equity into share parcels. A retiring farmer can retain majority shares for ongoing dividend income, while selling minority share percentages to a young successor over 5–10 years. This facilitates a smooth, phased transition of management and ownership without triggering a massive lump-sum tax or financing burden.</w:t>
      </w:r>
    </w:p>
    <w:p w14:paraId="4EF25DCA" w14:textId="77777777" w:rsidR="0087347B" w:rsidRPr="007842FB" w:rsidRDefault="0087347B" w:rsidP="007842FB">
      <w:pPr>
        <w:numPr>
          <w:ilvl w:val="0"/>
          <w:numId w:val="7"/>
        </w:numPr>
        <w:tabs>
          <w:tab w:val="clear" w:pos="720"/>
          <w:tab w:val="num" w:pos="360"/>
        </w:tabs>
        <w:ind w:left="360"/>
        <w:rPr>
          <w:b/>
          <w:bCs/>
        </w:rPr>
      </w:pPr>
      <w:r w:rsidRPr="007842FB">
        <w:rPr>
          <w:b/>
          <w:bCs/>
        </w:rPr>
        <w:t>Imagine a family-owned sheep and beef farm where the parents (median age ~56) wish to transition management and ownership to a young, commercially driven buyer (as described by Dan van der Salm).</w:t>
      </w:r>
    </w:p>
    <w:p w14:paraId="4304E779" w14:textId="77777777" w:rsidR="0087347B" w:rsidRPr="007842FB" w:rsidRDefault="0087347B" w:rsidP="0087347B">
      <w:pPr>
        <w:numPr>
          <w:ilvl w:val="1"/>
          <w:numId w:val="5"/>
        </w:numPr>
        <w:tabs>
          <w:tab w:val="clear" w:pos="1440"/>
          <w:tab w:val="num" w:pos="1080"/>
        </w:tabs>
        <w:ind w:left="1080"/>
        <w:rPr>
          <w:b/>
          <w:bCs/>
        </w:rPr>
      </w:pPr>
      <w:r w:rsidRPr="007842FB">
        <w:rPr>
          <w:b/>
          <w:bCs/>
        </w:rPr>
        <w:t>Recommend whether a Trading Trust, a Limited Liability Company, or a Co-operative/Equity Partnership structure best facilitates this transition.</w:t>
      </w:r>
    </w:p>
    <w:p w14:paraId="2E30E5AC" w14:textId="77777777" w:rsidR="0087347B" w:rsidRPr="007842FB" w:rsidRDefault="0087347B" w:rsidP="0087347B">
      <w:pPr>
        <w:numPr>
          <w:ilvl w:val="1"/>
          <w:numId w:val="5"/>
        </w:numPr>
        <w:tabs>
          <w:tab w:val="clear" w:pos="1440"/>
          <w:tab w:val="num" w:pos="1080"/>
        </w:tabs>
        <w:ind w:left="1080"/>
        <w:rPr>
          <w:b/>
          <w:bCs/>
        </w:rPr>
      </w:pPr>
      <w:r w:rsidRPr="007842FB">
        <w:rPr>
          <w:b/>
          <w:bCs/>
        </w:rPr>
        <w:t>Justify your choice by explaining how your recommended structure addresses:</w:t>
      </w:r>
    </w:p>
    <w:p w14:paraId="24E7D3B9" w14:textId="77777777" w:rsidR="0087347B" w:rsidRPr="007842FB" w:rsidRDefault="0087347B" w:rsidP="0087347B">
      <w:pPr>
        <w:numPr>
          <w:ilvl w:val="2"/>
          <w:numId w:val="5"/>
        </w:numPr>
        <w:tabs>
          <w:tab w:val="clear" w:pos="2160"/>
          <w:tab w:val="num" w:pos="1800"/>
        </w:tabs>
        <w:ind w:left="1800"/>
        <w:rPr>
          <w:b/>
          <w:bCs/>
        </w:rPr>
      </w:pPr>
      <w:r w:rsidRPr="007842FB">
        <w:rPr>
          <w:b/>
          <w:bCs/>
        </w:rPr>
        <w:t>The incoming buyer’s focus on return on investment (ROI) and current market value.</w:t>
      </w:r>
    </w:p>
    <w:p w14:paraId="6CB22AAF" w14:textId="77777777" w:rsidR="0087347B" w:rsidRDefault="0087347B" w:rsidP="0087347B">
      <w:pPr>
        <w:numPr>
          <w:ilvl w:val="2"/>
          <w:numId w:val="5"/>
        </w:numPr>
        <w:tabs>
          <w:tab w:val="clear" w:pos="2160"/>
          <w:tab w:val="num" w:pos="1800"/>
        </w:tabs>
        <w:ind w:left="1800"/>
        <w:rPr>
          <w:b/>
          <w:bCs/>
        </w:rPr>
      </w:pPr>
      <w:r w:rsidRPr="007842FB">
        <w:rPr>
          <w:b/>
          <w:bCs/>
        </w:rPr>
        <w:t>The retiring farmers' need for income or capital release for retirement.</w:t>
      </w:r>
    </w:p>
    <w:p w14:paraId="64749809" w14:textId="6331A9A2" w:rsidR="007842FB" w:rsidRPr="007842FB" w:rsidRDefault="007842FB" w:rsidP="007842FB">
      <w:pPr>
        <w:ind w:left="360"/>
        <w:rPr>
          <w:i/>
          <w:iCs/>
        </w:rPr>
      </w:pPr>
      <w:r w:rsidRPr="007842FB">
        <w:rPr>
          <w:i/>
          <w:iCs/>
        </w:rPr>
        <w:t>Recommendation:</w:t>
      </w:r>
      <w:r>
        <w:rPr>
          <w:i/>
          <w:iCs/>
        </w:rPr>
        <w:t xml:space="preserve"> </w:t>
      </w:r>
      <w:r w:rsidRPr="007842FB">
        <w:rPr>
          <w:i/>
          <w:iCs/>
        </w:rPr>
        <w:t>A Limited Liability Company (LLC) structure with an Equity Partnership model best facilitates this transition.</w:t>
      </w:r>
    </w:p>
    <w:p w14:paraId="67F97047" w14:textId="20684378" w:rsidR="007842FB" w:rsidRPr="007842FB" w:rsidRDefault="007842FB" w:rsidP="007842FB">
      <w:pPr>
        <w:ind w:left="360"/>
        <w:rPr>
          <w:i/>
          <w:iCs/>
        </w:rPr>
      </w:pPr>
      <w:r w:rsidRPr="007842FB">
        <w:rPr>
          <w:i/>
          <w:iCs/>
        </w:rPr>
        <w:t>Justification:</w:t>
      </w:r>
    </w:p>
    <w:p w14:paraId="675539EB" w14:textId="77777777" w:rsidR="007842FB" w:rsidRPr="007842FB" w:rsidRDefault="007842FB" w:rsidP="007842FB">
      <w:pPr>
        <w:numPr>
          <w:ilvl w:val="0"/>
          <w:numId w:val="11"/>
        </w:numPr>
        <w:rPr>
          <w:i/>
          <w:iCs/>
        </w:rPr>
      </w:pPr>
      <w:r w:rsidRPr="007842FB">
        <w:rPr>
          <w:i/>
          <w:iCs/>
        </w:rPr>
        <w:t>Addressing the Buyer's ROI Focus: Shares in an LLC are priced according to actual earnings and current market valuation. The young buyer can evaluate performance using standard commercial metrics (e.g., dividend yield, EBITDA, ROI per share) and purchase equity incrementally as their commercial management proves profitable.</w:t>
      </w:r>
    </w:p>
    <w:p w14:paraId="4B9BDC50" w14:textId="705111DC" w:rsidR="007842FB" w:rsidRPr="007842FB" w:rsidRDefault="007842FB" w:rsidP="007842FB">
      <w:pPr>
        <w:numPr>
          <w:ilvl w:val="0"/>
          <w:numId w:val="11"/>
        </w:numPr>
        <w:rPr>
          <w:i/>
          <w:iCs/>
        </w:rPr>
      </w:pPr>
      <w:r w:rsidRPr="007842FB">
        <w:rPr>
          <w:i/>
          <w:iCs/>
        </w:rPr>
        <w:t xml:space="preserve">Addressing the Retiring Farmers' Need for Income/Capital Release: The retiring parents can sell a 20%–40% stake initially to release immediate capital for retirement or off-farm investments, while retaining the remaining shares. They continue receiving regular income through dividend distributions based on their majority </w:t>
      </w:r>
      <w:r w:rsidRPr="007842FB">
        <w:rPr>
          <w:i/>
          <w:iCs/>
        </w:rPr>
        <w:t>shareholding</w:t>
      </w:r>
      <w:r w:rsidRPr="007842FB">
        <w:rPr>
          <w:i/>
          <w:iCs/>
        </w:rPr>
        <w:t>, gradually selling down their remaining equity as they fully step away.</w:t>
      </w:r>
    </w:p>
    <w:p w14:paraId="70AF769A" w14:textId="77777777" w:rsidR="007842FB" w:rsidRPr="007842FB" w:rsidRDefault="007842FB" w:rsidP="007842FB">
      <w:pPr>
        <w:rPr>
          <w:b/>
          <w:bCs/>
        </w:rPr>
      </w:pPr>
    </w:p>
    <w:p w14:paraId="0A1C6A8C" w14:textId="5AF366CA" w:rsidR="0087347B" w:rsidRPr="007842FB" w:rsidRDefault="0087347B" w:rsidP="007842FB">
      <w:pPr>
        <w:numPr>
          <w:ilvl w:val="0"/>
          <w:numId w:val="7"/>
        </w:numPr>
        <w:tabs>
          <w:tab w:val="clear" w:pos="720"/>
          <w:tab w:val="num" w:pos="360"/>
        </w:tabs>
        <w:ind w:left="360"/>
        <w:rPr>
          <w:b/>
          <w:bCs/>
        </w:rPr>
      </w:pPr>
      <w:r w:rsidRPr="007842FB">
        <w:rPr>
          <w:b/>
          <w:bCs/>
        </w:rPr>
        <w:lastRenderedPageBreak/>
        <w:t>Commodity price cycles always go up and down, raising questions about potential market corrections. Evaluate your recommended business structure (from question 1</w:t>
      </w:r>
      <w:r w:rsidR="00772A2B">
        <w:rPr>
          <w:b/>
          <w:bCs/>
        </w:rPr>
        <w:t>3</w:t>
      </w:r>
      <w:r w:rsidRPr="007842FB">
        <w:rPr>
          <w:b/>
          <w:bCs/>
        </w:rPr>
        <w:t>) for a farm undergoing succession:</w:t>
      </w:r>
    </w:p>
    <w:p w14:paraId="7F3030C8" w14:textId="77777777" w:rsidR="0087347B" w:rsidRPr="00772A2B" w:rsidRDefault="0087347B" w:rsidP="0087347B">
      <w:pPr>
        <w:numPr>
          <w:ilvl w:val="1"/>
          <w:numId w:val="6"/>
        </w:numPr>
        <w:tabs>
          <w:tab w:val="clear" w:pos="1440"/>
          <w:tab w:val="num" w:pos="1080"/>
        </w:tabs>
        <w:ind w:left="1080"/>
        <w:rPr>
          <w:b/>
          <w:bCs/>
        </w:rPr>
      </w:pPr>
      <w:r w:rsidRPr="00772A2B">
        <w:rPr>
          <w:b/>
          <w:bCs/>
        </w:rPr>
        <w:t>How does this structure protect the business and young buyer over the next 1–3 years if livestock valuations or meat prices experience a sudden downward correction?</w:t>
      </w:r>
    </w:p>
    <w:p w14:paraId="76CC6423" w14:textId="77777777" w:rsidR="0087347B" w:rsidRPr="00772A2B" w:rsidRDefault="0087347B" w:rsidP="0087347B">
      <w:pPr>
        <w:numPr>
          <w:ilvl w:val="1"/>
          <w:numId w:val="6"/>
        </w:numPr>
        <w:tabs>
          <w:tab w:val="clear" w:pos="1440"/>
          <w:tab w:val="num" w:pos="1080"/>
        </w:tabs>
        <w:ind w:left="1080"/>
        <w:rPr>
          <w:b/>
          <w:bCs/>
        </w:rPr>
      </w:pPr>
      <w:r w:rsidRPr="00772A2B">
        <w:rPr>
          <w:b/>
          <w:bCs/>
        </w:rPr>
        <w:t>How does this structure ensure the long-term viability, capital flexibility, and governance stability of the farm over the next 10–20 years as the $150 billion intergenerational wealth transfer takes place?</w:t>
      </w:r>
    </w:p>
    <w:p w14:paraId="4384B4E7" w14:textId="4CF9F7B1" w:rsidR="00772A2B" w:rsidRPr="00772A2B" w:rsidRDefault="00772A2B" w:rsidP="00772A2B">
      <w:pPr>
        <w:ind w:left="360"/>
        <w:rPr>
          <w:i/>
          <w:iCs/>
        </w:rPr>
      </w:pPr>
      <w:r>
        <w:rPr>
          <w:b/>
          <w:bCs/>
        </w:rPr>
        <w:t xml:space="preserve"> </w:t>
      </w:r>
      <w:r w:rsidRPr="00772A2B">
        <w:rPr>
          <w:i/>
          <w:iCs/>
        </w:rPr>
        <w:t>Short-Term Protection (1–3 Years):</w:t>
      </w:r>
    </w:p>
    <w:p w14:paraId="551CCF51" w14:textId="624B67B8" w:rsidR="00772A2B" w:rsidRPr="00772A2B" w:rsidRDefault="00772A2B" w:rsidP="00772A2B">
      <w:pPr>
        <w:numPr>
          <w:ilvl w:val="0"/>
          <w:numId w:val="12"/>
        </w:numPr>
        <w:rPr>
          <w:i/>
          <w:iCs/>
        </w:rPr>
      </w:pPr>
      <w:r w:rsidRPr="00772A2B">
        <w:rPr>
          <w:i/>
          <w:iCs/>
        </w:rPr>
        <w:t>If livestock valuations or meat prices drop suddenly, liability is restricted to the corporate entity. The young buyer's personal non-farm assets are legally shielded.</w:t>
      </w:r>
    </w:p>
    <w:p w14:paraId="4D4A489E" w14:textId="01D6DDD5" w:rsidR="00772A2B" w:rsidRPr="00772A2B" w:rsidRDefault="00772A2B" w:rsidP="00772A2B">
      <w:pPr>
        <w:numPr>
          <w:ilvl w:val="0"/>
          <w:numId w:val="12"/>
        </w:numPr>
        <w:rPr>
          <w:i/>
          <w:iCs/>
        </w:rPr>
      </w:pPr>
      <w:r w:rsidRPr="00772A2B">
        <w:rPr>
          <w:i/>
          <w:iCs/>
        </w:rPr>
        <w:t>Equity buy-ins are recalculated against updated market conditions; if valuations fall, future share tranches become cheaper for the young buyer to purchase, preventing them from over-leveraging during a market peak.</w:t>
      </w:r>
    </w:p>
    <w:p w14:paraId="35D0A858" w14:textId="6E3AD6B2" w:rsidR="00772A2B" w:rsidRPr="00772A2B" w:rsidRDefault="00772A2B" w:rsidP="00772A2B">
      <w:pPr>
        <w:ind w:left="360"/>
        <w:rPr>
          <w:i/>
          <w:iCs/>
        </w:rPr>
      </w:pPr>
      <w:r w:rsidRPr="00772A2B">
        <w:rPr>
          <w:i/>
          <w:iCs/>
        </w:rPr>
        <w:t xml:space="preserve">Long-Term Viability </w:t>
      </w:r>
      <w:r w:rsidR="00120DF0">
        <w:rPr>
          <w:i/>
          <w:iCs/>
        </w:rPr>
        <w:t>and</w:t>
      </w:r>
      <w:r w:rsidRPr="00772A2B">
        <w:rPr>
          <w:i/>
          <w:iCs/>
        </w:rPr>
        <w:t xml:space="preserve"> Governance (10–20 Years):</w:t>
      </w:r>
    </w:p>
    <w:p w14:paraId="20D714BB" w14:textId="2B08DBA5" w:rsidR="00772A2B" w:rsidRPr="00772A2B" w:rsidRDefault="00772A2B" w:rsidP="00772A2B">
      <w:pPr>
        <w:numPr>
          <w:ilvl w:val="0"/>
          <w:numId w:val="13"/>
        </w:numPr>
        <w:rPr>
          <w:i/>
          <w:iCs/>
        </w:rPr>
      </w:pPr>
      <w:r w:rsidRPr="00772A2B">
        <w:rPr>
          <w:i/>
          <w:iCs/>
        </w:rPr>
        <w:t>An LLC separates ownership from daily management. The retiring parents can shift from active operational management to non-executive board roles, providing wisdom during volatile periods while handing over operational control.</w:t>
      </w:r>
    </w:p>
    <w:p w14:paraId="76431ED3" w14:textId="0DDF0351" w:rsidR="00772A2B" w:rsidRPr="00772A2B" w:rsidRDefault="00772A2B" w:rsidP="00772A2B">
      <w:pPr>
        <w:numPr>
          <w:ilvl w:val="0"/>
          <w:numId w:val="13"/>
        </w:numPr>
        <w:rPr>
          <w:i/>
          <w:iCs/>
        </w:rPr>
      </w:pPr>
      <w:r w:rsidRPr="00772A2B">
        <w:rPr>
          <w:i/>
          <w:iCs/>
        </w:rPr>
        <w:t>The structure accommodates the pending $150 billion wealth transfer by allowing equity to be divided cleanly among farming and non-farming siblings (e.g., non-farming children receive non-voting dividend shares, while the active farming successor buys voting operational shares), ensuring family harmony and long-term farm retention.</w:t>
      </w:r>
    </w:p>
    <w:p w14:paraId="10636ACF" w14:textId="77777777" w:rsidR="0087347B" w:rsidRDefault="0087347B"/>
    <w:sectPr w:rsidR="0087347B" w:rsidSect="00811009">
      <w:headerReference w:type="default" r:id="rId10"/>
      <w:footerReference w:type="default" r:id="rId11"/>
      <w:pgSz w:w="11906" w:h="16838"/>
      <w:pgMar w:top="1440" w:right="1440" w:bottom="1440" w:left="1440" w:header="708" w:footer="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9BBC" w14:textId="77777777" w:rsidR="00FA66F5" w:rsidRDefault="00FA66F5" w:rsidP="0050181D">
      <w:pPr>
        <w:spacing w:after="0" w:line="240" w:lineRule="auto"/>
      </w:pPr>
      <w:r>
        <w:separator/>
      </w:r>
    </w:p>
  </w:endnote>
  <w:endnote w:type="continuationSeparator" w:id="0">
    <w:p w14:paraId="25B45E40" w14:textId="77777777" w:rsidR="00FA66F5" w:rsidRDefault="00FA66F5" w:rsidP="0050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42A0" w14:textId="6F4ADA56" w:rsidR="0050181D" w:rsidRDefault="0050181D">
    <w:pPr>
      <w:pStyle w:val="Footer"/>
    </w:pPr>
    <w:r>
      <w:rPr>
        <w:noProof/>
      </w:rPr>
      <w:drawing>
        <wp:anchor distT="0" distB="0" distL="114300" distR="114300" simplePos="0" relativeHeight="251661312" behindDoc="0" locked="0" layoutInCell="1" allowOverlap="1" wp14:anchorId="25A70F74" wp14:editId="7A3B01B0">
          <wp:simplePos x="0" y="0"/>
          <wp:positionH relativeFrom="margin">
            <wp:align>center</wp:align>
          </wp:positionH>
          <wp:positionV relativeFrom="paragraph">
            <wp:posOffset>-190500</wp:posOffset>
          </wp:positionV>
          <wp:extent cx="5731510" cy="642620"/>
          <wp:effectExtent l="0" t="0" r="2540" b="5080"/>
          <wp:wrapTopAndBottom/>
          <wp:docPr id="206234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B4008" w14:textId="77777777" w:rsidR="00FA66F5" w:rsidRDefault="00FA66F5" w:rsidP="0050181D">
      <w:pPr>
        <w:spacing w:after="0" w:line="240" w:lineRule="auto"/>
      </w:pPr>
      <w:r>
        <w:separator/>
      </w:r>
    </w:p>
  </w:footnote>
  <w:footnote w:type="continuationSeparator" w:id="0">
    <w:p w14:paraId="0EE744EE" w14:textId="77777777" w:rsidR="00FA66F5" w:rsidRDefault="00FA66F5" w:rsidP="00501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8BC4" w14:textId="4D2323EF" w:rsidR="0050181D" w:rsidRDefault="0050181D">
    <w:pPr>
      <w:pStyle w:val="Header"/>
    </w:pPr>
    <w:r>
      <w:rPr>
        <w:noProof/>
      </w:rPr>
      <w:drawing>
        <wp:anchor distT="0" distB="0" distL="114300" distR="114300" simplePos="0" relativeHeight="251659264" behindDoc="0" locked="0" layoutInCell="1" allowOverlap="1" wp14:anchorId="582653E0" wp14:editId="071A762A">
          <wp:simplePos x="0" y="0"/>
          <wp:positionH relativeFrom="column">
            <wp:posOffset>3905250</wp:posOffset>
          </wp:positionH>
          <wp:positionV relativeFrom="paragraph">
            <wp:posOffset>-330835</wp:posOffset>
          </wp:positionV>
          <wp:extent cx="1715135" cy="724535"/>
          <wp:effectExtent l="0" t="0" r="0" b="0"/>
          <wp:wrapSquare wrapText="bothSides"/>
          <wp:docPr id="1950465079" name="Picture 3" descr="A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70661" name="Picture 3" descr="A logo with a rainbow&#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135" cy="724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4F31"/>
    <w:multiLevelType w:val="multilevel"/>
    <w:tmpl w:val="85AC80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A7AF8"/>
    <w:multiLevelType w:val="multilevel"/>
    <w:tmpl w:val="B378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547F0"/>
    <w:multiLevelType w:val="multilevel"/>
    <w:tmpl w:val="22243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2475B6"/>
    <w:multiLevelType w:val="multilevel"/>
    <w:tmpl w:val="8F88EB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475E8A"/>
    <w:multiLevelType w:val="multilevel"/>
    <w:tmpl w:val="43CAE8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563ABA"/>
    <w:multiLevelType w:val="multilevel"/>
    <w:tmpl w:val="49A49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AC501C"/>
    <w:multiLevelType w:val="multilevel"/>
    <w:tmpl w:val="8F88EB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015CF6"/>
    <w:multiLevelType w:val="multilevel"/>
    <w:tmpl w:val="46B2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E539E8"/>
    <w:multiLevelType w:val="multilevel"/>
    <w:tmpl w:val="6E3E9F8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E814DC"/>
    <w:multiLevelType w:val="multilevel"/>
    <w:tmpl w:val="CC1244F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9F2528"/>
    <w:multiLevelType w:val="multilevel"/>
    <w:tmpl w:val="4A7C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5F6617"/>
    <w:multiLevelType w:val="multilevel"/>
    <w:tmpl w:val="4A7C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914B35"/>
    <w:multiLevelType w:val="multilevel"/>
    <w:tmpl w:val="0678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382171">
    <w:abstractNumId w:val="10"/>
  </w:num>
  <w:num w:numId="2" w16cid:durableId="2092463335">
    <w:abstractNumId w:val="0"/>
  </w:num>
  <w:num w:numId="3" w16cid:durableId="853306570">
    <w:abstractNumId w:val="4"/>
  </w:num>
  <w:num w:numId="4" w16cid:durableId="1744597065">
    <w:abstractNumId w:val="5"/>
  </w:num>
  <w:num w:numId="5" w16cid:durableId="557324361">
    <w:abstractNumId w:val="9"/>
  </w:num>
  <w:num w:numId="6" w16cid:durableId="1252280583">
    <w:abstractNumId w:val="8"/>
  </w:num>
  <w:num w:numId="7" w16cid:durableId="1276331345">
    <w:abstractNumId w:val="11"/>
  </w:num>
  <w:num w:numId="8" w16cid:durableId="333459724">
    <w:abstractNumId w:val="6"/>
  </w:num>
  <w:num w:numId="9" w16cid:durableId="652874278">
    <w:abstractNumId w:val="1"/>
  </w:num>
  <w:num w:numId="10" w16cid:durableId="1811359046">
    <w:abstractNumId w:val="3"/>
  </w:num>
  <w:num w:numId="11" w16cid:durableId="1307853687">
    <w:abstractNumId w:val="2"/>
  </w:num>
  <w:num w:numId="12" w16cid:durableId="330371101">
    <w:abstractNumId w:val="12"/>
  </w:num>
  <w:num w:numId="13" w16cid:durableId="34381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1D"/>
    <w:rsid w:val="00120DF0"/>
    <w:rsid w:val="002D76AE"/>
    <w:rsid w:val="004A6EAB"/>
    <w:rsid w:val="0050181D"/>
    <w:rsid w:val="007276D0"/>
    <w:rsid w:val="00772A2B"/>
    <w:rsid w:val="007842FB"/>
    <w:rsid w:val="0078531C"/>
    <w:rsid w:val="00811009"/>
    <w:rsid w:val="00866F32"/>
    <w:rsid w:val="0087347B"/>
    <w:rsid w:val="008B1BE5"/>
    <w:rsid w:val="00982F01"/>
    <w:rsid w:val="00BB3C90"/>
    <w:rsid w:val="00E554FE"/>
    <w:rsid w:val="00FA662B"/>
    <w:rsid w:val="00FA66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7EDD1"/>
  <w15:chartTrackingRefBased/>
  <w15:docId w15:val="{D793B12A-775C-4418-AFB7-8A0A33EC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1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1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8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18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8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8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18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8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8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8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81D"/>
    <w:rPr>
      <w:rFonts w:eastAsiaTheme="majorEastAsia" w:cstheme="majorBidi"/>
      <w:color w:val="272727" w:themeColor="text1" w:themeTint="D8"/>
    </w:rPr>
  </w:style>
  <w:style w:type="paragraph" w:styleId="Title">
    <w:name w:val="Title"/>
    <w:basedOn w:val="Normal"/>
    <w:next w:val="Normal"/>
    <w:link w:val="TitleChar"/>
    <w:uiPriority w:val="10"/>
    <w:qFormat/>
    <w:rsid w:val="00501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8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81D"/>
    <w:pPr>
      <w:spacing w:before="160"/>
      <w:jc w:val="center"/>
    </w:pPr>
    <w:rPr>
      <w:i/>
      <w:iCs/>
      <w:color w:val="404040" w:themeColor="text1" w:themeTint="BF"/>
    </w:rPr>
  </w:style>
  <w:style w:type="character" w:customStyle="1" w:styleId="QuoteChar">
    <w:name w:val="Quote Char"/>
    <w:basedOn w:val="DefaultParagraphFont"/>
    <w:link w:val="Quote"/>
    <w:uiPriority w:val="29"/>
    <w:rsid w:val="0050181D"/>
    <w:rPr>
      <w:i/>
      <w:iCs/>
      <w:color w:val="404040" w:themeColor="text1" w:themeTint="BF"/>
    </w:rPr>
  </w:style>
  <w:style w:type="paragraph" w:styleId="ListParagraph">
    <w:name w:val="List Paragraph"/>
    <w:basedOn w:val="Normal"/>
    <w:uiPriority w:val="34"/>
    <w:qFormat/>
    <w:rsid w:val="0050181D"/>
    <w:pPr>
      <w:ind w:left="720"/>
      <w:contextualSpacing/>
    </w:pPr>
  </w:style>
  <w:style w:type="character" w:styleId="IntenseEmphasis">
    <w:name w:val="Intense Emphasis"/>
    <w:basedOn w:val="DefaultParagraphFont"/>
    <w:uiPriority w:val="21"/>
    <w:qFormat/>
    <w:rsid w:val="0050181D"/>
    <w:rPr>
      <w:i/>
      <w:iCs/>
      <w:color w:val="0F4761" w:themeColor="accent1" w:themeShade="BF"/>
    </w:rPr>
  </w:style>
  <w:style w:type="paragraph" w:styleId="IntenseQuote">
    <w:name w:val="Intense Quote"/>
    <w:basedOn w:val="Normal"/>
    <w:next w:val="Normal"/>
    <w:link w:val="IntenseQuoteChar"/>
    <w:uiPriority w:val="30"/>
    <w:qFormat/>
    <w:rsid w:val="00501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81D"/>
    <w:rPr>
      <w:i/>
      <w:iCs/>
      <w:color w:val="0F4761" w:themeColor="accent1" w:themeShade="BF"/>
    </w:rPr>
  </w:style>
  <w:style w:type="character" w:styleId="IntenseReference">
    <w:name w:val="Intense Reference"/>
    <w:basedOn w:val="DefaultParagraphFont"/>
    <w:uiPriority w:val="32"/>
    <w:qFormat/>
    <w:rsid w:val="0050181D"/>
    <w:rPr>
      <w:b/>
      <w:bCs/>
      <w:smallCaps/>
      <w:color w:val="0F4761" w:themeColor="accent1" w:themeShade="BF"/>
      <w:spacing w:val="5"/>
    </w:rPr>
  </w:style>
  <w:style w:type="character" w:styleId="Hyperlink">
    <w:name w:val="Hyperlink"/>
    <w:basedOn w:val="DefaultParagraphFont"/>
    <w:uiPriority w:val="99"/>
    <w:unhideWhenUsed/>
    <w:rsid w:val="0050181D"/>
    <w:rPr>
      <w:color w:val="467886" w:themeColor="hyperlink"/>
      <w:u w:val="single"/>
    </w:rPr>
  </w:style>
  <w:style w:type="character" w:styleId="UnresolvedMention">
    <w:name w:val="Unresolved Mention"/>
    <w:basedOn w:val="DefaultParagraphFont"/>
    <w:uiPriority w:val="99"/>
    <w:semiHidden/>
    <w:unhideWhenUsed/>
    <w:rsid w:val="0050181D"/>
    <w:rPr>
      <w:color w:val="605E5C"/>
      <w:shd w:val="clear" w:color="auto" w:fill="E1DFDD"/>
    </w:rPr>
  </w:style>
  <w:style w:type="paragraph" w:styleId="Header">
    <w:name w:val="header"/>
    <w:basedOn w:val="Normal"/>
    <w:link w:val="HeaderChar"/>
    <w:uiPriority w:val="99"/>
    <w:unhideWhenUsed/>
    <w:rsid w:val="00501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81D"/>
  </w:style>
  <w:style w:type="paragraph" w:styleId="Footer">
    <w:name w:val="footer"/>
    <w:basedOn w:val="Normal"/>
    <w:link w:val="FooterChar"/>
    <w:uiPriority w:val="99"/>
    <w:unhideWhenUsed/>
    <w:rsid w:val="00501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81D"/>
  </w:style>
  <w:style w:type="paragraph" w:styleId="NormalWeb">
    <w:name w:val="Normal (Web)"/>
    <w:basedOn w:val="Normal"/>
    <w:uiPriority w:val="99"/>
    <w:semiHidden/>
    <w:unhideWhenUsed/>
    <w:rsid w:val="0087347B"/>
    <w:pPr>
      <w:spacing w:before="100" w:beforeAutospacing="1" w:after="100" w:afterAutospacing="1" w:line="240" w:lineRule="auto"/>
    </w:pPr>
    <w:rPr>
      <w:rFonts w:ascii="Times New Roman" w:eastAsia="Times New Roman" w:hAnsi="Times New Roman" w:cs="Times New Roman"/>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mersweekly.co.nz/author/neal-walla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5B500-5887-4DCF-BF4A-DB9AF8EFC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2751</Words>
  <Characters>15686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4</cp:revision>
  <dcterms:created xsi:type="dcterms:W3CDTF">2026-08-07T21:14:00Z</dcterms:created>
  <dcterms:modified xsi:type="dcterms:W3CDTF">2026-08-07T22:47:00Z</dcterms:modified>
</cp:coreProperties>
</file>