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2207" w:rsidRDefault="00A578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Equity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5191125</wp:posOffset>
            </wp:positionH>
            <wp:positionV relativeFrom="paragraph">
              <wp:posOffset>0</wp:posOffset>
            </wp:positionV>
            <wp:extent cx="1638300" cy="1162050"/>
            <wp:effectExtent l="0" t="0" r="0" b="0"/>
            <wp:wrapSquare wrapText="bothSides" distT="114300" distB="114300" distL="114300" distR="11430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2207" w:rsidRDefault="00A57859">
      <w:pPr>
        <w:jc w:val="both"/>
      </w:pPr>
      <w:r>
        <w:t xml:space="preserve">Equity is what the owner has </w:t>
      </w:r>
      <w:r>
        <w:rPr>
          <w:b/>
        </w:rPr>
        <w:t xml:space="preserve">PERSONALLY </w:t>
      </w:r>
      <w:r>
        <w:t>invested into their business</w:t>
      </w:r>
      <w:r>
        <w:rPr>
          <w:b/>
        </w:rPr>
        <w:t xml:space="preserve">. </w:t>
      </w:r>
      <w:r>
        <w:t xml:space="preserve">This represents their personal </w:t>
      </w:r>
      <w:r>
        <w:rPr>
          <w:b/>
        </w:rPr>
        <w:t>FINANCING</w:t>
      </w:r>
      <w:r>
        <w:t xml:space="preserve"> of the business. </w:t>
      </w:r>
    </w:p>
    <w:p w:rsidR="00D92207" w:rsidRDefault="00D92207">
      <w:pPr>
        <w:jc w:val="both"/>
      </w:pPr>
    </w:p>
    <w:p w:rsidR="00D92207" w:rsidRDefault="00D92207">
      <w:pPr>
        <w:jc w:val="both"/>
      </w:pPr>
    </w:p>
    <w:p w:rsidR="00D92207" w:rsidRDefault="00A57859">
      <w:pPr>
        <w:jc w:val="both"/>
      </w:pPr>
      <w:r>
        <w:t xml:space="preserve">The type of </w:t>
      </w:r>
      <w:r>
        <w:rPr>
          <w:b/>
        </w:rPr>
        <w:t>ownership structure</w:t>
      </w:r>
      <w:r>
        <w:t xml:space="preserve"> will determine what this equity </w:t>
      </w:r>
      <w:proofErr w:type="gramStart"/>
      <w:r>
        <w:t>is called</w:t>
      </w:r>
      <w:proofErr w:type="gramEnd"/>
      <w:r>
        <w:t>.</w:t>
      </w:r>
    </w:p>
    <w:p w:rsidR="00D92207" w:rsidRDefault="00D92207">
      <w:pPr>
        <w:jc w:val="both"/>
      </w:pPr>
    </w:p>
    <w:tbl>
      <w:tblPr>
        <w:tblStyle w:val="a"/>
        <w:tblW w:w="1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5235"/>
        <w:gridCol w:w="3240"/>
      </w:tblGrid>
      <w:tr w:rsidR="00D92207"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07" w:rsidRDefault="00A578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Ownership structure</w:t>
            </w:r>
          </w:p>
        </w:tc>
        <w:tc>
          <w:tcPr>
            <w:tcW w:w="5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07" w:rsidRDefault="00A578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07" w:rsidRDefault="00A578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Type of equity</w:t>
            </w:r>
          </w:p>
        </w:tc>
      </w:tr>
      <w:tr w:rsidR="00D92207"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07" w:rsidRDefault="00A57859">
            <w:pPr>
              <w:widowControl w:val="0"/>
              <w:spacing w:line="240" w:lineRule="auto"/>
            </w:pPr>
            <w:r>
              <w:t>Sole trader</w:t>
            </w:r>
          </w:p>
        </w:tc>
        <w:tc>
          <w:tcPr>
            <w:tcW w:w="5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07" w:rsidRDefault="00A57859">
            <w:pPr>
              <w:widowControl w:val="0"/>
              <w:spacing w:line="240" w:lineRule="auto"/>
            </w:pPr>
            <w:r>
              <w:t>One owner; usually a small business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07" w:rsidRDefault="00A57859">
            <w:pPr>
              <w:widowControl w:val="0"/>
              <w:spacing w:line="240" w:lineRule="auto"/>
            </w:pPr>
            <w:r>
              <w:t>Capital</w:t>
            </w:r>
          </w:p>
        </w:tc>
      </w:tr>
      <w:tr w:rsidR="00D92207"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07" w:rsidRDefault="00A57859">
            <w:pPr>
              <w:widowControl w:val="0"/>
              <w:spacing w:line="240" w:lineRule="auto"/>
            </w:pPr>
            <w:r>
              <w:t>Partnership</w:t>
            </w:r>
          </w:p>
        </w:tc>
        <w:tc>
          <w:tcPr>
            <w:tcW w:w="5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07" w:rsidRDefault="00A57859">
            <w:pPr>
              <w:widowControl w:val="0"/>
              <w:spacing w:line="240" w:lineRule="auto"/>
            </w:pPr>
            <w:r>
              <w:t>Two or more owners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07" w:rsidRDefault="00A57859">
            <w:pPr>
              <w:widowControl w:val="0"/>
              <w:spacing w:line="240" w:lineRule="auto"/>
            </w:pPr>
            <w:r>
              <w:t>Capital</w:t>
            </w:r>
          </w:p>
        </w:tc>
      </w:tr>
      <w:tr w:rsidR="00D92207"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07" w:rsidRDefault="00A57859">
            <w:pPr>
              <w:widowControl w:val="0"/>
              <w:spacing w:line="240" w:lineRule="auto"/>
            </w:pPr>
            <w:r>
              <w:t>Company</w:t>
            </w:r>
          </w:p>
        </w:tc>
        <w:tc>
          <w:tcPr>
            <w:tcW w:w="5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07" w:rsidRDefault="00A57859">
            <w:pPr>
              <w:widowControl w:val="0"/>
              <w:spacing w:line="240" w:lineRule="auto"/>
            </w:pPr>
            <w:r>
              <w:t xml:space="preserve">One or more owners (shareholders). Can be as small as the corner dairy or as big as Microsoft Corporation (Revenue $85 billion). Companies have to be </w:t>
            </w:r>
            <w:proofErr w:type="gramStart"/>
            <w:r>
              <w:t>formed</w:t>
            </w:r>
            <w:proofErr w:type="gramEnd"/>
            <w:r>
              <w:t xml:space="preserve"> and registered through the Companies Office. It is a legal requirement to follow this process when forming a company.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07" w:rsidRDefault="00A57859">
            <w:pPr>
              <w:widowControl w:val="0"/>
              <w:spacing w:line="240" w:lineRule="auto"/>
            </w:pPr>
            <w:r>
              <w:t>Contributed equity / share capital</w:t>
            </w:r>
          </w:p>
        </w:tc>
      </w:tr>
      <w:tr w:rsidR="00D92207"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07" w:rsidRDefault="00A57859">
            <w:pPr>
              <w:widowControl w:val="0"/>
              <w:spacing w:line="240" w:lineRule="auto"/>
            </w:pPr>
            <w:r>
              <w:t>Trust</w:t>
            </w:r>
          </w:p>
        </w:tc>
        <w:tc>
          <w:tcPr>
            <w:tcW w:w="5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07" w:rsidRDefault="00A57859">
            <w:pPr>
              <w:widowControl w:val="0"/>
              <w:spacing w:line="240" w:lineRule="auto"/>
            </w:pPr>
            <w:r>
              <w:rPr>
                <w:color w:val="333333"/>
                <w:sz w:val="19"/>
                <w:szCs w:val="19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A trust is a legally binding arrangement when a person (the settlor) transfers legal ownership of assets to certain chosen persons (trustees) to be held on trust for the benefit of persons named by the settlor (the beneficiaries). Once a trust </w:t>
            </w:r>
            <w:proofErr w:type="gramStart"/>
            <w:r>
              <w:rPr>
                <w:highlight w:val="white"/>
              </w:rPr>
              <w:t>is created</w:t>
            </w:r>
            <w:proofErr w:type="gramEnd"/>
            <w:r>
              <w:rPr>
                <w:highlight w:val="white"/>
              </w:rPr>
              <w:t>, the settler loses legal ownership of the assets in question.  However, the settlor may be a beneficiary and even a trustee too.  This would assist the settlor to retain some form of control over the trust.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07" w:rsidRDefault="00A57859">
            <w:pPr>
              <w:widowControl w:val="0"/>
              <w:spacing w:line="240" w:lineRule="auto"/>
            </w:pPr>
            <w:r>
              <w:t>Accumulated fund</w:t>
            </w:r>
          </w:p>
        </w:tc>
      </w:tr>
      <w:tr w:rsidR="00D92207"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07" w:rsidRDefault="00A57859">
            <w:pPr>
              <w:widowControl w:val="0"/>
              <w:spacing w:line="240" w:lineRule="auto"/>
            </w:pPr>
            <w:r>
              <w:t>Co-operative</w:t>
            </w:r>
          </w:p>
        </w:tc>
        <w:tc>
          <w:tcPr>
            <w:tcW w:w="5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07" w:rsidRDefault="00A57859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A co-operative is a term used to describe a business organisation that </w:t>
            </w:r>
            <w:proofErr w:type="gramStart"/>
            <w:r>
              <w:rPr>
                <w:highlight w:val="white"/>
              </w:rPr>
              <w:t>is owned and democratically controlled by its members</w:t>
            </w:r>
            <w:proofErr w:type="gramEnd"/>
            <w:r>
              <w:rPr>
                <w:highlight w:val="white"/>
              </w:rPr>
              <w:t xml:space="preserve">. E.g. co-operative taxi services, milk supply </w:t>
            </w:r>
            <w:proofErr w:type="spellStart"/>
            <w:r>
              <w:rPr>
                <w:highlight w:val="white"/>
              </w:rPr>
              <w:t>etc</w:t>
            </w:r>
            <w:proofErr w:type="spellEnd"/>
          </w:p>
          <w:p w:rsidR="00D92207" w:rsidRDefault="00DA2539">
            <w:pPr>
              <w:widowControl w:val="0"/>
              <w:spacing w:line="240" w:lineRule="auto"/>
              <w:rPr>
                <w:highlight w:val="white"/>
              </w:rPr>
            </w:pPr>
            <w:hyperlink r:id="rId6" w:anchor="examples">
              <w:r w:rsidR="00A57859">
                <w:rPr>
                  <w:color w:val="1155CC"/>
                  <w:highlight w:val="white"/>
                  <w:u w:val="single"/>
                </w:rPr>
                <w:t>https://www.companiesoffice.govt.nz/companies/learn-about/other-registers/co-operative-organisations#examples</w:t>
              </w:r>
            </w:hyperlink>
          </w:p>
          <w:p w:rsidR="00D92207" w:rsidRDefault="00D92207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207" w:rsidRDefault="00A57859">
            <w:pPr>
              <w:widowControl w:val="0"/>
              <w:spacing w:line="240" w:lineRule="auto"/>
            </w:pPr>
            <w:r>
              <w:t>Share capital</w:t>
            </w:r>
          </w:p>
        </w:tc>
      </w:tr>
    </w:tbl>
    <w:p w:rsidR="00D92207" w:rsidRDefault="00D92207">
      <w:pPr>
        <w:jc w:val="both"/>
      </w:pPr>
    </w:p>
    <w:p w:rsidR="00D92207" w:rsidRDefault="00A57859">
      <w:pPr>
        <w:jc w:val="both"/>
        <w:rPr>
          <w:b/>
        </w:rPr>
      </w:pPr>
      <w:r>
        <w:rPr>
          <w:b/>
        </w:rPr>
        <w:t>Starting a business.</w:t>
      </w:r>
    </w:p>
    <w:p w:rsidR="00D92207" w:rsidRDefault="00A57859">
      <w:pPr>
        <w:jc w:val="both"/>
      </w:pPr>
      <w:r>
        <w:t xml:space="preserve">To start a business requires an investment by the owner. This investment will involve a significant amount of cash. The cash invested will often represent the owner’s life savings. This cash will be used to purchase assets of the new business e.g. a fishing boat if setting up as a commercial </w:t>
      </w:r>
      <w:proofErr w:type="gramStart"/>
      <w:r>
        <w:t>fisherman</w:t>
      </w:r>
      <w:proofErr w:type="gramEnd"/>
      <w:r>
        <w:t xml:space="preserve">. The owner may also invest other assets such as vehicles, buildings, land, equipment, computers </w:t>
      </w:r>
      <w:proofErr w:type="spellStart"/>
      <w:r>
        <w:t>etc</w:t>
      </w:r>
      <w:proofErr w:type="spellEnd"/>
      <w:r>
        <w:t xml:space="preserve"> when starting their business. 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margin">
              <wp:posOffset>-114299</wp:posOffset>
            </wp:positionH>
            <wp:positionV relativeFrom="paragraph">
              <wp:posOffset>114300</wp:posOffset>
            </wp:positionV>
            <wp:extent cx="1781175" cy="1181100"/>
            <wp:effectExtent l="0" t="0" r="0" b="0"/>
            <wp:wrapSquare wrapText="bothSides" distT="114300" distB="114300" distL="114300" distR="11430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2207" w:rsidRDefault="00D92207">
      <w:pPr>
        <w:jc w:val="both"/>
      </w:pPr>
    </w:p>
    <w:p w:rsidR="00D92207" w:rsidRDefault="00A57859">
      <w:pPr>
        <w:jc w:val="both"/>
      </w:pPr>
      <w:r>
        <w:t xml:space="preserve">Equity is different from loans, mortgages, debentures, bank overdraft etc. This type of financing is referred to as </w:t>
      </w:r>
      <w:r>
        <w:rPr>
          <w:b/>
        </w:rPr>
        <w:t xml:space="preserve">DEBT finance </w:t>
      </w:r>
      <w:r>
        <w:t xml:space="preserve">and it is sourced from </w:t>
      </w:r>
      <w:r>
        <w:rPr>
          <w:b/>
        </w:rPr>
        <w:t>EXTERNAL</w:t>
      </w:r>
      <w:r>
        <w:t xml:space="preserve"> sources e.g. banks and finance companies. To start the business the owner may also require debt finance to buy assets.</w:t>
      </w:r>
    </w:p>
    <w:p w:rsidR="00D92207" w:rsidRDefault="00D92207">
      <w:pPr>
        <w:jc w:val="both"/>
      </w:pPr>
    </w:p>
    <w:p w:rsidR="00D92207" w:rsidRDefault="00A57859">
      <w:pPr>
        <w:jc w:val="both"/>
      </w:pPr>
      <w:r>
        <w:t xml:space="preserve">A successful business will be profitable. The owner will receive a share of the profit in the form of drawings (sole traders and partnerships) and dividends (companies and co-operatives). Any profit kept in the business (not shared out to the owners as drawings or dividend) will grow the equity in it. This equity </w:t>
      </w:r>
      <w:proofErr w:type="gramStart"/>
      <w:r>
        <w:t>can be used</w:t>
      </w:r>
      <w:proofErr w:type="gramEnd"/>
      <w:r>
        <w:t xml:space="preserve"> for expansion when the time is right.</w:t>
      </w:r>
    </w:p>
    <w:p w:rsidR="00D92207" w:rsidRDefault="00D92207">
      <w:pPr>
        <w:jc w:val="both"/>
      </w:pPr>
    </w:p>
    <w:p w:rsidR="00D92207" w:rsidRDefault="00D92207">
      <w:pPr>
        <w:jc w:val="both"/>
        <w:rPr>
          <w:b/>
        </w:rPr>
      </w:pPr>
    </w:p>
    <w:p w:rsidR="00D92207" w:rsidRDefault="00A57859">
      <w:pPr>
        <w:jc w:val="both"/>
        <w:rPr>
          <w:b/>
        </w:rPr>
      </w:pPr>
      <w:r>
        <w:rPr>
          <w:b/>
        </w:rPr>
        <w:lastRenderedPageBreak/>
        <w:t>Additional Equity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margin">
              <wp:posOffset>4933950</wp:posOffset>
            </wp:positionH>
            <wp:positionV relativeFrom="paragraph">
              <wp:posOffset>0</wp:posOffset>
            </wp:positionV>
            <wp:extent cx="1714500" cy="1143000"/>
            <wp:effectExtent l="0" t="0" r="0" b="0"/>
            <wp:wrapSquare wrapText="bothSides" distT="114300" distB="114300" distL="114300" distR="11430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2207" w:rsidRDefault="00A57859">
      <w:pPr>
        <w:jc w:val="both"/>
      </w:pPr>
      <w:r>
        <w:t>Strategic capital expenditure will require financing and there are a number of financing options. These options include:</w:t>
      </w:r>
    </w:p>
    <w:p w:rsidR="00D92207" w:rsidRDefault="00A57859">
      <w:pPr>
        <w:numPr>
          <w:ilvl w:val="0"/>
          <w:numId w:val="1"/>
        </w:numPr>
        <w:ind w:hanging="360"/>
        <w:contextualSpacing/>
        <w:jc w:val="both"/>
      </w:pPr>
      <w:r>
        <w:t>Equity only</w:t>
      </w:r>
    </w:p>
    <w:p w:rsidR="00D92207" w:rsidRDefault="00A57859">
      <w:pPr>
        <w:numPr>
          <w:ilvl w:val="0"/>
          <w:numId w:val="1"/>
        </w:numPr>
        <w:ind w:hanging="360"/>
        <w:contextualSpacing/>
        <w:jc w:val="both"/>
      </w:pPr>
      <w:r>
        <w:t>Debt only</w:t>
      </w:r>
    </w:p>
    <w:p w:rsidR="00D92207" w:rsidRDefault="00A57859">
      <w:pPr>
        <w:numPr>
          <w:ilvl w:val="0"/>
          <w:numId w:val="1"/>
        </w:numPr>
        <w:ind w:hanging="360"/>
        <w:contextualSpacing/>
        <w:jc w:val="both"/>
      </w:pPr>
      <w:r>
        <w:t>Mixture of debt and equity</w:t>
      </w:r>
    </w:p>
    <w:p w:rsidR="00D92207" w:rsidRDefault="00D92207">
      <w:pPr>
        <w:jc w:val="both"/>
      </w:pPr>
    </w:p>
    <w:p w:rsidR="00D92207" w:rsidRDefault="00A57859">
      <w:pPr>
        <w:jc w:val="both"/>
        <w:rPr>
          <w:b/>
          <w:u w:val="single"/>
        </w:rPr>
      </w:pPr>
      <w:r>
        <w:rPr>
          <w:b/>
          <w:u w:val="single"/>
        </w:rPr>
        <w:t>Equity Only</w:t>
      </w:r>
    </w:p>
    <w:p w:rsidR="00D92207" w:rsidRDefault="00A57859">
      <w:pPr>
        <w:jc w:val="both"/>
      </w:pPr>
      <w:r>
        <w:t xml:space="preserve">To finance the strategic capital expenditure additional equity </w:t>
      </w:r>
      <w:proofErr w:type="gramStart"/>
      <w:r>
        <w:t>can be raised</w:t>
      </w:r>
      <w:proofErr w:type="gramEnd"/>
      <w:r>
        <w:t xml:space="preserve">. How this will be done will </w:t>
      </w:r>
      <w:proofErr w:type="gramStart"/>
      <w:r>
        <w:t>often</w:t>
      </w:r>
      <w:proofErr w:type="gramEnd"/>
      <w:r>
        <w:t xml:space="preserve"> depend on the ownership structure and size of the business. </w:t>
      </w:r>
    </w:p>
    <w:p w:rsidR="00D92207" w:rsidRDefault="00D92207">
      <w:pPr>
        <w:jc w:val="both"/>
        <w:rPr>
          <w:b/>
        </w:rPr>
      </w:pPr>
    </w:p>
    <w:p w:rsidR="00D92207" w:rsidRDefault="00A57859">
      <w:pPr>
        <w:jc w:val="both"/>
        <w:rPr>
          <w:b/>
        </w:rPr>
      </w:pPr>
      <w:r>
        <w:rPr>
          <w:b/>
          <w:u w:val="single"/>
        </w:rPr>
        <w:t>Sole traders</w:t>
      </w:r>
      <w:r>
        <w:rPr>
          <w:b/>
        </w:rPr>
        <w:t xml:space="preserve"> </w:t>
      </w:r>
    </w:p>
    <w:p w:rsidR="00D92207" w:rsidRDefault="00A57859">
      <w:pPr>
        <w:numPr>
          <w:ilvl w:val="0"/>
          <w:numId w:val="3"/>
        </w:numPr>
        <w:ind w:left="2130" w:hanging="360"/>
        <w:contextualSpacing/>
        <w:jc w:val="both"/>
      </w:pPr>
      <w:r>
        <w:t xml:space="preserve">Raising additional equity finance will require the owner to put/ invest more of their personal money into the business. They can also </w:t>
      </w:r>
      <w:r>
        <w:rPr>
          <w:b/>
          <w:u w:val="single"/>
        </w:rPr>
        <w:t>draw out less of the profit</w:t>
      </w:r>
      <w:r>
        <w:t xml:space="preserve"> each </w:t>
      </w:r>
      <w:proofErr w:type="gramStart"/>
      <w:r>
        <w:t>year which</w:t>
      </w:r>
      <w:proofErr w:type="gramEnd"/>
      <w:r>
        <w:t xml:space="preserve"> will help retain / build equity in the business. Some of this equity will be cash.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margin">
              <wp:posOffset>-180974</wp:posOffset>
            </wp:positionH>
            <wp:positionV relativeFrom="paragraph">
              <wp:posOffset>38100</wp:posOffset>
            </wp:positionV>
            <wp:extent cx="1038225" cy="1276350"/>
            <wp:effectExtent l="0" t="0" r="0" b="0"/>
            <wp:wrapSquare wrapText="bothSides" distT="114300" distB="114300" distL="114300" distR="114300"/>
            <wp:docPr id="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2207" w:rsidRDefault="00A57859">
      <w:pPr>
        <w:numPr>
          <w:ilvl w:val="0"/>
          <w:numId w:val="3"/>
        </w:numPr>
        <w:ind w:left="2130" w:hanging="360"/>
        <w:contextualSpacing/>
        <w:jc w:val="both"/>
      </w:pPr>
      <w:r>
        <w:t xml:space="preserve">They could also look at changing the ownership structure by looking at forming a partnership with a new investor in the business OR changing to a company structure if they have investors who would be prepared to buy shares in the company. </w:t>
      </w:r>
    </w:p>
    <w:p w:rsidR="00D92207" w:rsidRDefault="00D92207">
      <w:pPr>
        <w:jc w:val="both"/>
      </w:pPr>
    </w:p>
    <w:p w:rsidR="00D92207" w:rsidRDefault="00D92207">
      <w:pPr>
        <w:jc w:val="both"/>
      </w:pPr>
    </w:p>
    <w:p w:rsidR="00D92207" w:rsidRDefault="00D92207">
      <w:pPr>
        <w:jc w:val="both"/>
      </w:pPr>
    </w:p>
    <w:p w:rsidR="00D92207" w:rsidRDefault="00A57859">
      <w:pPr>
        <w:jc w:val="both"/>
      </w:pPr>
      <w:r>
        <w:t>Advantages</w:t>
      </w:r>
    </w:p>
    <w:p w:rsidR="00D92207" w:rsidRDefault="00A57859">
      <w:pPr>
        <w:numPr>
          <w:ilvl w:val="0"/>
          <w:numId w:val="2"/>
        </w:numPr>
        <w:ind w:hanging="360"/>
        <w:contextualSpacing/>
        <w:jc w:val="both"/>
      </w:pPr>
      <w:r>
        <w:t>No additional debt and therefore no interest or loan repayments which reduces pressure on cash flow</w:t>
      </w:r>
    </w:p>
    <w:p w:rsidR="00D92207" w:rsidRDefault="00A57859">
      <w:pPr>
        <w:numPr>
          <w:ilvl w:val="0"/>
          <w:numId w:val="2"/>
        </w:numPr>
        <w:ind w:hanging="360"/>
        <w:contextualSpacing/>
        <w:jc w:val="both"/>
      </w:pPr>
      <w:r>
        <w:t>A partner may bring new skills and access to a wider client base</w:t>
      </w:r>
    </w:p>
    <w:p w:rsidR="00D92207" w:rsidRDefault="00D92207">
      <w:pPr>
        <w:jc w:val="both"/>
      </w:pPr>
    </w:p>
    <w:p w:rsidR="00D92207" w:rsidRDefault="00A57859">
      <w:pPr>
        <w:jc w:val="both"/>
      </w:pPr>
      <w:r>
        <w:t>Disadvantages</w:t>
      </w:r>
    </w:p>
    <w:p w:rsidR="00D92207" w:rsidRDefault="00A57859">
      <w:pPr>
        <w:numPr>
          <w:ilvl w:val="0"/>
          <w:numId w:val="5"/>
        </w:numPr>
        <w:ind w:hanging="360"/>
        <w:contextualSpacing/>
        <w:jc w:val="both"/>
      </w:pPr>
      <w:r>
        <w:t>The amount of equity that can be accessed may not be large</w:t>
      </w:r>
    </w:p>
    <w:p w:rsidR="00D92207" w:rsidRDefault="00A57859">
      <w:pPr>
        <w:numPr>
          <w:ilvl w:val="0"/>
          <w:numId w:val="5"/>
        </w:numPr>
        <w:ind w:hanging="360"/>
        <w:contextualSpacing/>
        <w:jc w:val="both"/>
      </w:pPr>
      <w:r>
        <w:t>Loss of some control of the business if you have partners or shareholders</w:t>
      </w:r>
    </w:p>
    <w:p w:rsidR="00D92207" w:rsidRDefault="00A57859">
      <w:pPr>
        <w:numPr>
          <w:ilvl w:val="0"/>
          <w:numId w:val="5"/>
        </w:numPr>
        <w:ind w:hanging="360"/>
        <w:contextualSpacing/>
        <w:jc w:val="both"/>
      </w:pPr>
      <w:r>
        <w:t>Waiting for equity to build up in the business can take too long and opportunities are missed</w:t>
      </w:r>
    </w:p>
    <w:p w:rsidR="00D92207" w:rsidRDefault="00D92207">
      <w:pPr>
        <w:jc w:val="both"/>
      </w:pPr>
    </w:p>
    <w:p w:rsidR="00D92207" w:rsidRDefault="00A57859">
      <w:pPr>
        <w:jc w:val="both"/>
        <w:rPr>
          <w:b/>
          <w:u w:val="single"/>
        </w:rPr>
      </w:pPr>
      <w:r>
        <w:rPr>
          <w:b/>
          <w:u w:val="single"/>
        </w:rPr>
        <w:t>Partnerships</w:t>
      </w:r>
    </w:p>
    <w:p w:rsidR="00D92207" w:rsidRDefault="00A57859">
      <w:pPr>
        <w:jc w:val="both"/>
      </w:pPr>
      <w:r>
        <w:t xml:space="preserve">Partnerships access to additional finance is similar to sole traders so I </w:t>
      </w:r>
      <w:proofErr w:type="gramStart"/>
      <w:r>
        <w:t>won’t</w:t>
      </w:r>
      <w:proofErr w:type="gramEnd"/>
      <w:r>
        <w:t xml:space="preserve"> spend time on this ownership structure.</w:t>
      </w:r>
    </w:p>
    <w:p w:rsidR="00D92207" w:rsidRDefault="00D92207">
      <w:pPr>
        <w:jc w:val="both"/>
      </w:pPr>
    </w:p>
    <w:p w:rsidR="00D92207" w:rsidRDefault="00A57859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Companies</w:t>
      </w:r>
    </w:p>
    <w:p w:rsidR="00D92207" w:rsidRDefault="00A57859">
      <w:pPr>
        <w:spacing w:line="240" w:lineRule="auto"/>
        <w:jc w:val="both"/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margin">
              <wp:posOffset>-95249</wp:posOffset>
            </wp:positionH>
            <wp:positionV relativeFrom="paragraph">
              <wp:posOffset>95250</wp:posOffset>
            </wp:positionV>
            <wp:extent cx="2466975" cy="1847850"/>
            <wp:effectExtent l="0" t="0" r="0" b="0"/>
            <wp:wrapSquare wrapText="bothSides" distT="114300" distB="114300" distL="114300" distR="11430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2207" w:rsidRDefault="00A57859">
      <w:pPr>
        <w:jc w:val="both"/>
      </w:pPr>
      <w:r>
        <w:t xml:space="preserve">The access to additional equity for a company will really depend on the size of the company. </w:t>
      </w:r>
    </w:p>
    <w:p w:rsidR="00D92207" w:rsidRDefault="00D92207">
      <w:pPr>
        <w:jc w:val="both"/>
        <w:rPr>
          <w:b/>
        </w:rPr>
      </w:pPr>
    </w:p>
    <w:p w:rsidR="00D92207" w:rsidRDefault="00A57859">
      <w:pPr>
        <w:jc w:val="both"/>
        <w:rPr>
          <w:b/>
        </w:rPr>
      </w:pPr>
      <w:r>
        <w:rPr>
          <w:b/>
        </w:rPr>
        <w:t>Smaller companies</w:t>
      </w:r>
    </w:p>
    <w:p w:rsidR="00D92207" w:rsidRDefault="00A57859">
      <w:pPr>
        <w:jc w:val="both"/>
      </w:pPr>
      <w:r>
        <w:t xml:space="preserve">The corner dairy down the road could have been formed as a company but </w:t>
      </w:r>
      <w:proofErr w:type="gramStart"/>
      <w:r>
        <w:t>it’s</w:t>
      </w:r>
      <w:proofErr w:type="gramEnd"/>
      <w:r>
        <w:t xml:space="preserve"> access to additional equity will be similar to that of a sole trader. Limited in amount </w:t>
      </w:r>
      <w:proofErr w:type="gramStart"/>
      <w:r>
        <w:t>and also</w:t>
      </w:r>
      <w:proofErr w:type="gramEnd"/>
      <w:r>
        <w:t xml:space="preserve"> reliant on retaining / building profit in the company. Additional shareholders are likely to be family members. </w:t>
      </w:r>
    </w:p>
    <w:p w:rsidR="00D92207" w:rsidRDefault="00A57859">
      <w:pPr>
        <w:jc w:val="both"/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margin">
              <wp:posOffset>5381625</wp:posOffset>
            </wp:positionH>
            <wp:positionV relativeFrom="paragraph">
              <wp:posOffset>66675</wp:posOffset>
            </wp:positionV>
            <wp:extent cx="1524000" cy="1114425"/>
            <wp:effectExtent l="0" t="0" r="0" b="0"/>
            <wp:wrapSquare wrapText="bothSides" distT="114300" distB="114300" distL="114300" distR="11430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2207" w:rsidRDefault="00A57859">
      <w:pPr>
        <w:jc w:val="both"/>
        <w:rPr>
          <w:b/>
        </w:rPr>
      </w:pPr>
      <w:r>
        <w:rPr>
          <w:b/>
        </w:rPr>
        <w:t>Bigger companies</w:t>
      </w:r>
    </w:p>
    <w:p w:rsidR="00D92207" w:rsidRDefault="00A57859">
      <w:pPr>
        <w:jc w:val="both"/>
      </w:pPr>
      <w:r>
        <w:t xml:space="preserve">Bigger companies have access to larger amounts of equity. Some of these companies such as Gallagher </w:t>
      </w:r>
      <w:proofErr w:type="gramStart"/>
      <w:r>
        <w:t>are referred</w:t>
      </w:r>
      <w:proofErr w:type="gramEnd"/>
      <w:r>
        <w:t xml:space="preserve"> to as </w:t>
      </w:r>
      <w:r>
        <w:rPr>
          <w:b/>
          <w:u w:val="single"/>
        </w:rPr>
        <w:t>private</w:t>
      </w:r>
      <w:r>
        <w:t xml:space="preserve"> companies as they are not listed on the NZ </w:t>
      </w:r>
      <w:proofErr w:type="spellStart"/>
      <w:r>
        <w:t>Sharemarket</w:t>
      </w:r>
      <w:proofErr w:type="spellEnd"/>
      <w:r>
        <w:t xml:space="preserve"> </w:t>
      </w:r>
      <w:hyperlink r:id="rId12">
        <w:r>
          <w:rPr>
            <w:color w:val="1155CC"/>
            <w:u w:val="single"/>
          </w:rPr>
          <w:t>http://www.nzherald.co.nz/business/news/article.cfm?c_id=3&amp;objectid=10803467</w:t>
        </w:r>
      </w:hyperlink>
      <w:r>
        <w:t xml:space="preserve">  </w:t>
      </w:r>
    </w:p>
    <w:p w:rsidR="00D92207" w:rsidRDefault="00A57859">
      <w:pPr>
        <w:jc w:val="both"/>
      </w:pPr>
      <w:r>
        <w:t xml:space="preserve">They can issue more shares to raise finance but it is not as easy as it is for companies listed on the NZ </w:t>
      </w:r>
      <w:proofErr w:type="spellStart"/>
      <w:r>
        <w:t>Sharemarket</w:t>
      </w:r>
      <w:proofErr w:type="spellEnd"/>
      <w:r>
        <w:t>. They can use a share broker as brokers deal with private equity issues. The share brokers will have clients that are looking to invest in different types of companies and a private company may be the investment they are looking for.</w:t>
      </w:r>
    </w:p>
    <w:p w:rsidR="00D92207" w:rsidRDefault="00D92207">
      <w:pPr>
        <w:jc w:val="both"/>
      </w:pPr>
    </w:p>
    <w:p w:rsidR="00D92207" w:rsidRDefault="00A57859">
      <w:pPr>
        <w:jc w:val="both"/>
      </w:pPr>
      <w:r>
        <w:rPr>
          <w:noProof/>
        </w:rPr>
        <w:lastRenderedPageBreak/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margin">
              <wp:posOffset>-95249</wp:posOffset>
            </wp:positionH>
            <wp:positionV relativeFrom="paragraph">
              <wp:posOffset>0</wp:posOffset>
            </wp:positionV>
            <wp:extent cx="3114675" cy="1466850"/>
            <wp:effectExtent l="0" t="0" r="0" b="0"/>
            <wp:wrapSquare wrapText="bothSides" distT="114300" distB="114300" distL="114300" distR="11430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2207" w:rsidRDefault="00A57859">
      <w:pPr>
        <w:jc w:val="both"/>
      </w:pPr>
      <w:r>
        <w:t xml:space="preserve">Other large companies </w:t>
      </w:r>
      <w:proofErr w:type="gramStart"/>
      <w:r>
        <w:t>are listed</w:t>
      </w:r>
      <w:proofErr w:type="gramEnd"/>
      <w:r>
        <w:t xml:space="preserve"> on the NZ </w:t>
      </w:r>
      <w:proofErr w:type="spellStart"/>
      <w:r>
        <w:t>Sharemarket</w:t>
      </w:r>
      <w:proofErr w:type="spellEnd"/>
      <w:r>
        <w:t xml:space="preserve"> and have access to investors throughout NZ and the world. To raise additional equity they can issue new shares to the public. This will usually be through a </w:t>
      </w:r>
      <w:proofErr w:type="spellStart"/>
      <w:r>
        <w:t>sharebroker</w:t>
      </w:r>
      <w:proofErr w:type="spellEnd"/>
      <w:r>
        <w:t xml:space="preserve">. Anybody that wants to buy shares in companies listed on the </w:t>
      </w:r>
      <w:proofErr w:type="spellStart"/>
      <w:r>
        <w:t>sharemarket</w:t>
      </w:r>
      <w:proofErr w:type="spellEnd"/>
      <w:r>
        <w:t xml:space="preserve"> will require a share broker or a financial advisor and they will require a brokerage account. This kind of share issue has the ability to raise tens or hundreds of millions of equity because of the amount of potential investors available to them. </w:t>
      </w:r>
    </w:p>
    <w:p w:rsidR="00D92207" w:rsidRDefault="00D92207">
      <w:pPr>
        <w:jc w:val="both"/>
      </w:pPr>
    </w:p>
    <w:p w:rsidR="00D92207" w:rsidRDefault="00A57859">
      <w:pPr>
        <w:jc w:val="both"/>
      </w:pPr>
      <w:r>
        <w:t>Advantages</w:t>
      </w:r>
    </w:p>
    <w:p w:rsidR="00D92207" w:rsidRDefault="00A57859">
      <w:pPr>
        <w:numPr>
          <w:ilvl w:val="0"/>
          <w:numId w:val="6"/>
        </w:numPr>
        <w:ind w:hanging="360"/>
        <w:contextualSpacing/>
        <w:jc w:val="both"/>
      </w:pPr>
      <w:r>
        <w:t>Bigger companies can raise large sums of equity</w:t>
      </w:r>
    </w:p>
    <w:p w:rsidR="00D92207" w:rsidRDefault="00A57859">
      <w:pPr>
        <w:numPr>
          <w:ilvl w:val="0"/>
          <w:numId w:val="6"/>
        </w:numPr>
        <w:ind w:hanging="360"/>
        <w:contextualSpacing/>
        <w:jc w:val="both"/>
      </w:pPr>
      <w:r>
        <w:t>Access to more potential investors</w:t>
      </w:r>
    </w:p>
    <w:p w:rsidR="00D92207" w:rsidRDefault="00A57859">
      <w:pPr>
        <w:numPr>
          <w:ilvl w:val="0"/>
          <w:numId w:val="6"/>
        </w:numPr>
        <w:ind w:hanging="360"/>
        <w:contextualSpacing/>
        <w:jc w:val="both"/>
      </w:pPr>
      <w:r>
        <w:t>Not required to pay back what is invested, apart from future profits in the form of dividends</w:t>
      </w:r>
    </w:p>
    <w:p w:rsidR="00D92207" w:rsidRDefault="00D92207">
      <w:pPr>
        <w:jc w:val="both"/>
      </w:pPr>
    </w:p>
    <w:p w:rsidR="00D92207" w:rsidRDefault="00A57859">
      <w:pPr>
        <w:jc w:val="both"/>
      </w:pPr>
      <w:r>
        <w:t>Disadvantages</w:t>
      </w:r>
    </w:p>
    <w:p w:rsidR="00D92207" w:rsidRDefault="00A57859">
      <w:pPr>
        <w:numPr>
          <w:ilvl w:val="0"/>
          <w:numId w:val="4"/>
        </w:numPr>
        <w:ind w:hanging="360"/>
        <w:contextualSpacing/>
        <w:jc w:val="both"/>
      </w:pPr>
      <w:r>
        <w:t xml:space="preserve">Existing </w:t>
      </w:r>
      <w:r>
        <w:rPr>
          <w:b/>
        </w:rPr>
        <w:t>shareholdings</w:t>
      </w:r>
      <w:r>
        <w:t xml:space="preserve"> </w:t>
      </w:r>
      <w:proofErr w:type="gramStart"/>
      <w:r>
        <w:t>can be diluted</w:t>
      </w:r>
      <w:proofErr w:type="gramEnd"/>
      <w:r>
        <w:t xml:space="preserve"> with new shares if they are not issued pro rata. This means a smaller percentage of the profit will be received by existing shareholders</w:t>
      </w:r>
    </w:p>
    <w:p w:rsidR="00D92207" w:rsidRDefault="00A57859">
      <w:pPr>
        <w:numPr>
          <w:ilvl w:val="0"/>
          <w:numId w:val="4"/>
        </w:numPr>
        <w:ind w:hanging="360"/>
        <w:contextualSpacing/>
        <w:jc w:val="both"/>
      </w:pPr>
      <w:r>
        <w:t>Can lose control of the company as there are more owners involved in decision making</w:t>
      </w:r>
    </w:p>
    <w:p w:rsidR="00D92207" w:rsidRDefault="00A57859">
      <w:pPr>
        <w:jc w:val="both"/>
      </w:pPr>
      <w:r>
        <w:t xml:space="preserve">  </w:t>
      </w:r>
    </w:p>
    <w:p w:rsidR="00D92207" w:rsidRDefault="00A57859">
      <w:pPr>
        <w:jc w:val="both"/>
      </w:pPr>
      <w:r>
        <w:t xml:space="preserve">Gallagher </w:t>
      </w:r>
      <w:hyperlink r:id="rId14">
        <w:r>
          <w:rPr>
            <w:color w:val="1155CC"/>
            <w:u w:val="single"/>
          </w:rPr>
          <w:t>http://www.interest.co.nz/business/63427/andrew-patterson-talks-energetic-chief-gallagher-group-worlds-leading-manufacturer</w:t>
        </w:r>
      </w:hyperlink>
    </w:p>
    <w:p w:rsidR="00D92207" w:rsidRDefault="00D92207">
      <w:pPr>
        <w:jc w:val="both"/>
      </w:pPr>
    </w:p>
    <w:p w:rsidR="00D92207" w:rsidRDefault="00D92207">
      <w:pPr>
        <w:jc w:val="both"/>
      </w:pPr>
    </w:p>
    <w:p w:rsidR="00D92207" w:rsidRDefault="00A57859">
      <w:pPr>
        <w:jc w:val="both"/>
      </w:pPr>
      <w:proofErr w:type="spellStart"/>
      <w:r>
        <w:t>Tru</w:t>
      </w:r>
      <w:proofErr w:type="spellEnd"/>
      <w:r>
        <w:t xml:space="preserve"> test </w:t>
      </w:r>
      <w:hyperlink r:id="rId15">
        <w:r>
          <w:rPr>
            <w:color w:val="1155CC"/>
            <w:u w:val="single"/>
          </w:rPr>
          <w:t>http://www.interest.co.nz/rural-news/63045/tru-tests-biggest-shareholder-and-rival-gallagher-group-says-no-renounceable-rights</w:t>
        </w:r>
      </w:hyperlink>
    </w:p>
    <w:p w:rsidR="00D92207" w:rsidRDefault="00D92207">
      <w:pPr>
        <w:jc w:val="both"/>
      </w:pPr>
    </w:p>
    <w:p w:rsidR="00D92207" w:rsidRDefault="00DA2539">
      <w:hyperlink r:id="rId16">
        <w:r w:rsidR="00A57859">
          <w:rPr>
            <w:color w:val="1155CC"/>
            <w:u w:val="single"/>
          </w:rPr>
          <w:t>http://www.stuff.co.nz/business/farming/agribusiness/84399369/synlait-reveals-98m-offer-for-expansion-plans</w:t>
        </w:r>
      </w:hyperlink>
    </w:p>
    <w:p w:rsidR="00D92207" w:rsidRDefault="00D92207"/>
    <w:bookmarkStart w:id="0" w:name="_GoBack"/>
    <w:bookmarkEnd w:id="0"/>
    <w:p w:rsidR="00D92207" w:rsidRDefault="00DA2539">
      <w:r>
        <w:fldChar w:fldCharType="begin"/>
      </w:r>
      <w:r>
        <w:instrText xml:space="preserve"> HYPERLINK "http://www.stuff.co.nz/business/money/9313216/Choosing-the-right-sharebroker" \h </w:instrText>
      </w:r>
      <w:r>
        <w:fldChar w:fldCharType="separate"/>
      </w:r>
      <w:r w:rsidR="00A57859">
        <w:rPr>
          <w:color w:val="1155CC"/>
          <w:u w:val="single"/>
        </w:rPr>
        <w:t>http://www.stuff.co.nz/business/money/9313216/Choosing-the-right-sharebroker</w:t>
      </w:r>
      <w:r>
        <w:rPr>
          <w:color w:val="1155CC"/>
          <w:u w:val="single"/>
        </w:rPr>
        <w:fldChar w:fldCharType="end"/>
      </w:r>
    </w:p>
    <w:p w:rsidR="00D92207" w:rsidRDefault="00D92207"/>
    <w:sectPr w:rsidR="00D92207">
      <w:pgSz w:w="11906" w:h="16838"/>
      <w:pgMar w:top="283" w:right="435" w:bottom="283" w:left="4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5CA"/>
    <w:multiLevelType w:val="multilevel"/>
    <w:tmpl w:val="EE1642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81E0393"/>
    <w:multiLevelType w:val="multilevel"/>
    <w:tmpl w:val="B5588A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17D1E8A"/>
    <w:multiLevelType w:val="multilevel"/>
    <w:tmpl w:val="89AE5A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04D4D6A"/>
    <w:multiLevelType w:val="multilevel"/>
    <w:tmpl w:val="5FD867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0D42332"/>
    <w:multiLevelType w:val="multilevel"/>
    <w:tmpl w:val="F39E85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7A7524CB"/>
    <w:multiLevelType w:val="multilevel"/>
    <w:tmpl w:val="6CC893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07"/>
    <w:rsid w:val="00A57859"/>
    <w:rsid w:val="00D92207"/>
    <w:rsid w:val="00DA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D485BD-B6BB-41C1-9D51-C2B3FE14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nzherald.co.nz/business/news/article.cfm?c_id=3&amp;objectid=1080346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ff.co.nz/business/farming/agribusiness/84399369/synlait-reveals-98m-offer-for-expansion-pla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mpaniesoffice.govt.nz/companies/learn-about/other-registers/co-operative-organisations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://www.interest.co.nz/rural-news/63045/tru-tests-biggest-shareholder-and-rival-gallagher-group-says-no-renounceable-rights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interest.co.nz/business/63427/andrew-patterson-talks-energetic-chief-gallagher-group-worlds-leading-manufactur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Allen</dc:creator>
  <cp:lastModifiedBy>Kerry Allen</cp:lastModifiedBy>
  <cp:revision>3</cp:revision>
  <dcterms:created xsi:type="dcterms:W3CDTF">2017-07-23T08:53:00Z</dcterms:created>
  <dcterms:modified xsi:type="dcterms:W3CDTF">2017-07-25T06:38:00Z</dcterms:modified>
</cp:coreProperties>
</file>