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7535" w:rsidRDefault="006204BA">
      <w:bookmarkStart w:id="0" w:name="_GoBack"/>
      <w:bookmarkEnd w:id="0"/>
      <w:r>
        <w:t xml:space="preserve">Click on the following link: </w:t>
      </w:r>
      <w:hyperlink r:id="rId4">
        <w:r>
          <w:rPr>
            <w:color w:val="1155CC"/>
            <w:u w:val="single"/>
          </w:rPr>
          <w:t>https://tools.anz.co.nz/home-loans/repayments-calculator/</w:t>
        </w:r>
      </w:hyperlink>
    </w:p>
    <w:p w:rsidR="000A7535" w:rsidRDefault="000A7535"/>
    <w:p w:rsidR="000A7535" w:rsidRDefault="006204BA">
      <w:pPr>
        <w:rPr>
          <w:b/>
        </w:rPr>
      </w:pPr>
      <w:r>
        <w:rPr>
          <w:b/>
        </w:rPr>
        <w:t>Question One</w:t>
      </w:r>
    </w:p>
    <w:p w:rsidR="000A7535" w:rsidRDefault="006204BA">
      <w:r>
        <w:t>Use the calculator from the link to complete the table. The amount you have borrowed is $150,000.</w:t>
      </w:r>
    </w:p>
    <w:p w:rsidR="000A7535" w:rsidRDefault="000A7535"/>
    <w:tbl>
      <w:tblPr>
        <w:tblStyle w:val="a"/>
        <w:tblW w:w="11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1"/>
        <w:gridCol w:w="2131"/>
        <w:gridCol w:w="2268"/>
        <w:gridCol w:w="2268"/>
        <w:gridCol w:w="2268"/>
      </w:tblGrid>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Interest rate</w:t>
            </w:r>
          </w:p>
        </w:tc>
        <w:tc>
          <w:tcPr>
            <w:tcW w:w="2130" w:type="dxa"/>
            <w:tcMar>
              <w:top w:w="100" w:type="dxa"/>
              <w:left w:w="100" w:type="dxa"/>
              <w:bottom w:w="100" w:type="dxa"/>
              <w:right w:w="100" w:type="dxa"/>
            </w:tcMar>
          </w:tcPr>
          <w:p w:rsidR="000A7535" w:rsidRDefault="006204BA">
            <w:pPr>
              <w:widowControl w:val="0"/>
              <w:spacing w:line="240" w:lineRule="auto"/>
              <w:rPr>
                <w:b/>
              </w:rPr>
            </w:pPr>
            <w:r>
              <w:rPr>
                <w:b/>
              </w:rPr>
              <w:t>5.79% 10 year loan</w:t>
            </w:r>
          </w:p>
        </w:tc>
        <w:tc>
          <w:tcPr>
            <w:tcW w:w="2268" w:type="dxa"/>
            <w:tcMar>
              <w:top w:w="100" w:type="dxa"/>
              <w:left w:w="100" w:type="dxa"/>
              <w:bottom w:w="100" w:type="dxa"/>
              <w:right w:w="100" w:type="dxa"/>
            </w:tcMar>
          </w:tcPr>
          <w:p w:rsidR="000A7535" w:rsidRDefault="006204BA">
            <w:pPr>
              <w:widowControl w:val="0"/>
              <w:spacing w:line="240" w:lineRule="auto"/>
              <w:rPr>
                <w:b/>
              </w:rPr>
            </w:pPr>
            <w:r>
              <w:rPr>
                <w:b/>
              </w:rPr>
              <w:t>5.79% 15 year loan</w:t>
            </w:r>
          </w:p>
        </w:tc>
        <w:tc>
          <w:tcPr>
            <w:tcW w:w="2268" w:type="dxa"/>
            <w:tcMar>
              <w:top w:w="100" w:type="dxa"/>
              <w:left w:w="100" w:type="dxa"/>
              <w:bottom w:w="100" w:type="dxa"/>
              <w:right w:w="100" w:type="dxa"/>
            </w:tcMar>
          </w:tcPr>
          <w:p w:rsidR="000A7535" w:rsidRDefault="006204BA">
            <w:pPr>
              <w:widowControl w:val="0"/>
              <w:spacing w:line="240" w:lineRule="auto"/>
              <w:rPr>
                <w:b/>
              </w:rPr>
            </w:pPr>
            <w:r>
              <w:rPr>
                <w:b/>
              </w:rPr>
              <w:t>8% 10 year loan</w:t>
            </w:r>
          </w:p>
        </w:tc>
        <w:tc>
          <w:tcPr>
            <w:tcW w:w="2268" w:type="dxa"/>
            <w:tcMar>
              <w:top w:w="100" w:type="dxa"/>
              <w:left w:w="100" w:type="dxa"/>
              <w:bottom w:w="100" w:type="dxa"/>
              <w:right w:w="100" w:type="dxa"/>
            </w:tcMar>
          </w:tcPr>
          <w:p w:rsidR="000A7535" w:rsidRDefault="006204BA">
            <w:pPr>
              <w:widowControl w:val="0"/>
              <w:spacing w:line="240" w:lineRule="auto"/>
            </w:pPr>
            <w:r>
              <w:rPr>
                <w:b/>
              </w:rPr>
              <w:t>8% 15 year loan</w:t>
            </w:r>
          </w:p>
        </w:tc>
      </w:tr>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Minimum monthly repayment</w:t>
            </w:r>
          </w:p>
        </w:tc>
        <w:tc>
          <w:tcPr>
            <w:tcW w:w="2130"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r>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Total interest</w:t>
            </w:r>
          </w:p>
        </w:tc>
        <w:tc>
          <w:tcPr>
            <w:tcW w:w="2130"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r>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Total cost</w:t>
            </w:r>
          </w:p>
        </w:tc>
        <w:tc>
          <w:tcPr>
            <w:tcW w:w="2130"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r>
      <w:tr w:rsidR="000A7535">
        <w:tc>
          <w:tcPr>
            <w:tcW w:w="2400" w:type="dxa"/>
            <w:shd w:val="clear" w:color="auto" w:fill="00FFFF"/>
            <w:tcMar>
              <w:top w:w="100" w:type="dxa"/>
              <w:left w:w="100" w:type="dxa"/>
              <w:bottom w:w="100" w:type="dxa"/>
              <w:right w:w="100" w:type="dxa"/>
            </w:tcMar>
          </w:tcPr>
          <w:p w:rsidR="000A7535" w:rsidRDefault="006204BA">
            <w:pPr>
              <w:widowControl w:val="0"/>
              <w:spacing w:line="240" w:lineRule="auto"/>
              <w:rPr>
                <w:b/>
              </w:rPr>
            </w:pPr>
            <w:r>
              <w:rPr>
                <w:b/>
              </w:rPr>
              <w:t>Change to fortnightly payments</w:t>
            </w:r>
          </w:p>
        </w:tc>
        <w:tc>
          <w:tcPr>
            <w:tcW w:w="2130" w:type="dxa"/>
            <w:shd w:val="clear" w:color="auto" w:fill="00FFFF"/>
            <w:tcMar>
              <w:top w:w="100" w:type="dxa"/>
              <w:left w:w="100" w:type="dxa"/>
              <w:bottom w:w="100" w:type="dxa"/>
              <w:right w:w="100" w:type="dxa"/>
            </w:tcMar>
          </w:tcPr>
          <w:p w:rsidR="000A7535" w:rsidRDefault="000A7535">
            <w:pPr>
              <w:widowControl w:val="0"/>
              <w:spacing w:line="240" w:lineRule="auto"/>
            </w:pPr>
          </w:p>
        </w:tc>
        <w:tc>
          <w:tcPr>
            <w:tcW w:w="2268" w:type="dxa"/>
            <w:shd w:val="clear" w:color="auto" w:fill="00FFFF"/>
            <w:tcMar>
              <w:top w:w="100" w:type="dxa"/>
              <w:left w:w="100" w:type="dxa"/>
              <w:bottom w:w="100" w:type="dxa"/>
              <w:right w:w="100" w:type="dxa"/>
            </w:tcMar>
          </w:tcPr>
          <w:p w:rsidR="000A7535" w:rsidRDefault="000A7535">
            <w:pPr>
              <w:widowControl w:val="0"/>
              <w:spacing w:line="240" w:lineRule="auto"/>
            </w:pPr>
          </w:p>
        </w:tc>
        <w:tc>
          <w:tcPr>
            <w:tcW w:w="2268" w:type="dxa"/>
            <w:shd w:val="clear" w:color="auto" w:fill="00FFFF"/>
            <w:tcMar>
              <w:top w:w="100" w:type="dxa"/>
              <w:left w:w="100" w:type="dxa"/>
              <w:bottom w:w="100" w:type="dxa"/>
              <w:right w:w="100" w:type="dxa"/>
            </w:tcMar>
          </w:tcPr>
          <w:p w:rsidR="000A7535" w:rsidRDefault="000A7535">
            <w:pPr>
              <w:widowControl w:val="0"/>
              <w:spacing w:line="240" w:lineRule="auto"/>
            </w:pPr>
          </w:p>
        </w:tc>
        <w:tc>
          <w:tcPr>
            <w:tcW w:w="2268" w:type="dxa"/>
            <w:shd w:val="clear" w:color="auto" w:fill="00FFFF"/>
            <w:tcMar>
              <w:top w:w="100" w:type="dxa"/>
              <w:left w:w="100" w:type="dxa"/>
              <w:bottom w:w="100" w:type="dxa"/>
              <w:right w:w="100" w:type="dxa"/>
            </w:tcMar>
          </w:tcPr>
          <w:p w:rsidR="000A7535" w:rsidRDefault="000A7535">
            <w:pPr>
              <w:widowControl w:val="0"/>
              <w:spacing w:line="240" w:lineRule="auto"/>
            </w:pPr>
          </w:p>
        </w:tc>
      </w:tr>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Minimum fortnightly repayment</w:t>
            </w:r>
          </w:p>
        </w:tc>
        <w:tc>
          <w:tcPr>
            <w:tcW w:w="2130" w:type="dxa"/>
            <w:tcMar>
              <w:top w:w="100" w:type="dxa"/>
              <w:left w:w="100" w:type="dxa"/>
              <w:bottom w:w="100" w:type="dxa"/>
              <w:right w:w="100" w:type="dxa"/>
            </w:tcMar>
          </w:tcPr>
          <w:p w:rsidR="000A7535" w:rsidRDefault="006204BA">
            <w:pPr>
              <w:widowControl w:val="0"/>
              <w:spacing w:line="240" w:lineRule="auto"/>
            </w:pPr>
            <w:r>
              <w:t>Change minimum fortnightly payments to $825</w:t>
            </w:r>
          </w:p>
        </w:tc>
        <w:tc>
          <w:tcPr>
            <w:tcW w:w="2268" w:type="dxa"/>
            <w:tcMar>
              <w:top w:w="100" w:type="dxa"/>
              <w:left w:w="100" w:type="dxa"/>
              <w:bottom w:w="100" w:type="dxa"/>
              <w:right w:w="100" w:type="dxa"/>
            </w:tcMar>
          </w:tcPr>
          <w:p w:rsidR="000A7535" w:rsidRDefault="006204BA">
            <w:pPr>
              <w:widowControl w:val="0"/>
              <w:spacing w:line="240" w:lineRule="auto"/>
            </w:pPr>
            <w:r>
              <w:t>Change minimum fortnightly payments to $625</w:t>
            </w:r>
          </w:p>
        </w:tc>
        <w:tc>
          <w:tcPr>
            <w:tcW w:w="2268" w:type="dxa"/>
            <w:tcMar>
              <w:top w:w="100" w:type="dxa"/>
              <w:left w:w="100" w:type="dxa"/>
              <w:bottom w:w="100" w:type="dxa"/>
              <w:right w:w="100" w:type="dxa"/>
            </w:tcMar>
          </w:tcPr>
          <w:p w:rsidR="000A7535" w:rsidRDefault="006204BA">
            <w:pPr>
              <w:widowControl w:val="0"/>
              <w:spacing w:line="240" w:lineRule="auto"/>
            </w:pPr>
            <w:r>
              <w:t>Change minimum fortnightly payments to $910</w:t>
            </w:r>
          </w:p>
        </w:tc>
        <w:tc>
          <w:tcPr>
            <w:tcW w:w="2268" w:type="dxa"/>
            <w:tcMar>
              <w:top w:w="100" w:type="dxa"/>
              <w:left w:w="100" w:type="dxa"/>
              <w:bottom w:w="100" w:type="dxa"/>
              <w:right w:w="100" w:type="dxa"/>
            </w:tcMar>
          </w:tcPr>
          <w:p w:rsidR="000A7535" w:rsidRDefault="006204BA">
            <w:pPr>
              <w:widowControl w:val="0"/>
              <w:spacing w:line="240" w:lineRule="auto"/>
            </w:pPr>
            <w:r>
              <w:t>Change minimum fortnightly payments to $717</w:t>
            </w:r>
          </w:p>
        </w:tc>
      </w:tr>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Total interest</w:t>
            </w:r>
          </w:p>
        </w:tc>
        <w:tc>
          <w:tcPr>
            <w:tcW w:w="2130"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r>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Total cost</w:t>
            </w:r>
          </w:p>
        </w:tc>
        <w:tc>
          <w:tcPr>
            <w:tcW w:w="2130"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r>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Interest saved</w:t>
            </w:r>
          </w:p>
        </w:tc>
        <w:tc>
          <w:tcPr>
            <w:tcW w:w="2130"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r>
      <w:tr w:rsidR="000A7535">
        <w:tc>
          <w:tcPr>
            <w:tcW w:w="2400" w:type="dxa"/>
            <w:tcMar>
              <w:top w:w="100" w:type="dxa"/>
              <w:left w:w="100" w:type="dxa"/>
              <w:bottom w:w="100" w:type="dxa"/>
              <w:right w:w="100" w:type="dxa"/>
            </w:tcMar>
          </w:tcPr>
          <w:p w:rsidR="000A7535" w:rsidRDefault="006204BA">
            <w:pPr>
              <w:widowControl w:val="0"/>
              <w:spacing w:line="240" w:lineRule="auto"/>
              <w:rPr>
                <w:b/>
              </w:rPr>
            </w:pPr>
            <w:r>
              <w:rPr>
                <w:b/>
              </w:rPr>
              <w:t>New length of loan</w:t>
            </w:r>
          </w:p>
        </w:tc>
        <w:tc>
          <w:tcPr>
            <w:tcW w:w="2130"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c>
          <w:tcPr>
            <w:tcW w:w="2268" w:type="dxa"/>
            <w:tcMar>
              <w:top w:w="100" w:type="dxa"/>
              <w:left w:w="100" w:type="dxa"/>
              <w:bottom w:w="100" w:type="dxa"/>
              <w:right w:w="100" w:type="dxa"/>
            </w:tcMar>
          </w:tcPr>
          <w:p w:rsidR="000A7535" w:rsidRDefault="000A7535">
            <w:pPr>
              <w:widowControl w:val="0"/>
              <w:spacing w:line="240" w:lineRule="auto"/>
            </w:pPr>
          </w:p>
        </w:tc>
      </w:tr>
    </w:tbl>
    <w:p w:rsidR="000A7535" w:rsidRDefault="000A7535"/>
    <w:p w:rsidR="000A7535" w:rsidRDefault="006204BA">
      <w:r>
        <w:t>The longer the loan the more (a) that will be paid for example the 5.79% loan with monthly payments will cost an extra $(b) of (c) in total. The shorter loan period will be beneficial to the business because the loan will paid off in a (d) time meaning tha</w:t>
      </w:r>
      <w:r>
        <w:t xml:space="preserve">t cash will be available to be spent in other areas of the business before the longer term loan is (e) off. However it will put (f) pressure on cash flow as the payments will be $(g) (h) each month meaning other areas of the business could be neglected as </w:t>
      </w:r>
      <w:r>
        <w:t xml:space="preserve">the cash </w:t>
      </w:r>
      <w:proofErr w:type="gramStart"/>
      <w:r>
        <w:t>isn’t</w:t>
      </w:r>
      <w:proofErr w:type="gramEnd"/>
      <w:r>
        <w:t xml:space="preserve"> available.</w:t>
      </w:r>
    </w:p>
    <w:p w:rsidR="000A7535" w:rsidRDefault="000A7535"/>
    <w:p w:rsidR="000A7535" w:rsidRDefault="006204BA">
      <w:r>
        <w:t>A 10 year loan that has an increase in interest from 5.79% to 8% will cost an extra $(</w:t>
      </w:r>
      <w:proofErr w:type="spellStart"/>
      <w:r>
        <w:t>i</w:t>
      </w:r>
      <w:proofErr w:type="spellEnd"/>
      <w:r>
        <w:t>) in total. This could make some projects unaffordable.</w:t>
      </w:r>
    </w:p>
    <w:p w:rsidR="000A7535" w:rsidRDefault="000A7535"/>
    <w:p w:rsidR="000A7535" w:rsidRDefault="006204BA">
      <w:r>
        <w:t xml:space="preserve">By splitting a monthly payment on a 15 year loan at 8% into fortnightly payments you </w:t>
      </w:r>
      <w:r>
        <w:t>can save $(j</w:t>
      </w:r>
      <w:proofErr w:type="gramStart"/>
      <w:r>
        <w:t>)  and</w:t>
      </w:r>
      <w:proofErr w:type="gramEnd"/>
      <w:r>
        <w:t xml:space="preserve"> the loan will be paid off in (k) years. The 15 year loan will be paid off earlier because by paying fortnightly there will be some months where there will be (l) payments made as there will be (m) fortnights in that month. </w:t>
      </w:r>
      <w:proofErr w:type="gramStart"/>
      <w:r>
        <w:t>However</w:t>
      </w:r>
      <w:proofErr w:type="gramEnd"/>
      <w:r>
        <w:t xml:space="preserve"> this w</w:t>
      </w:r>
      <w:r>
        <w:t xml:space="preserve">ill create pressure on cash flow in those months because of the (n) payment. </w:t>
      </w:r>
    </w:p>
    <w:p w:rsidR="000A7535" w:rsidRDefault="000A7535"/>
    <w:sectPr w:rsidR="000A7535">
      <w:pgSz w:w="11906" w:h="16838"/>
      <w:pgMar w:top="283" w:right="285" w:bottom="283" w:left="28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35"/>
    <w:rsid w:val="000A7535"/>
    <w:rsid w:val="006204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C544D-F6FC-405E-9D76-8994678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NZ" w:eastAsia="en-N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ools.anz.co.nz/home-loans/repayments-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Allen</dc:creator>
  <cp:lastModifiedBy>Kerry Allen</cp:lastModifiedBy>
  <cp:revision>2</cp:revision>
  <dcterms:created xsi:type="dcterms:W3CDTF">2017-07-23T08:58:00Z</dcterms:created>
  <dcterms:modified xsi:type="dcterms:W3CDTF">2017-07-23T08:58:00Z</dcterms:modified>
</cp:coreProperties>
</file>