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F6ADC" w14:textId="3C6E1E72" w:rsidR="009F5055" w:rsidRPr="00977562" w:rsidRDefault="009F5055" w:rsidP="009F5055">
      <w:pPr>
        <w:rPr>
          <w:b/>
          <w:bCs/>
        </w:rPr>
      </w:pPr>
      <w:r w:rsidRPr="00977562">
        <w:rPr>
          <w:b/>
          <w:bCs/>
        </w:rPr>
        <w:t>OSPRI reduces control areas in battle against T</w:t>
      </w:r>
      <w:r w:rsidR="00473211">
        <w:rPr>
          <w:b/>
          <w:bCs/>
        </w:rPr>
        <w:t>B</w:t>
      </w:r>
    </w:p>
    <w:p w14:paraId="65E3600C" w14:textId="77777777" w:rsidR="009F5055" w:rsidRPr="007A4EF5" w:rsidRDefault="009F5055" w:rsidP="009F5055">
      <w:pPr>
        <w:rPr>
          <w:sz w:val="20"/>
          <w:szCs w:val="20"/>
        </w:rPr>
      </w:pPr>
      <w:hyperlink r:id="rId7" w:history="1">
        <w:r w:rsidRPr="007A4EF5">
          <w:rPr>
            <w:rStyle w:val="Hyperlink"/>
            <w:sz w:val="20"/>
            <w:szCs w:val="20"/>
          </w:rPr>
          <w:t>https://www.farmersweekly.co.nz/news/ospri-reduces-control-areas-in-battle-against-tb/</w:t>
        </w:r>
      </w:hyperlink>
    </w:p>
    <w:p w14:paraId="5EE89C60" w14:textId="330F0EFF" w:rsidR="009F5055" w:rsidRPr="00977562" w:rsidRDefault="00F046DC" w:rsidP="009F5055">
      <w:r w:rsidRPr="00F046DC">
        <w:rPr>
          <w:noProof/>
          <w:sz w:val="22"/>
          <w:szCs w:val="22"/>
        </w:rPr>
        <w:drawing>
          <wp:anchor distT="0" distB="0" distL="114300" distR="114300" simplePos="0" relativeHeight="251658240" behindDoc="0" locked="0" layoutInCell="1" allowOverlap="1" wp14:anchorId="290932EE" wp14:editId="7F9515B3">
            <wp:simplePos x="0" y="0"/>
            <wp:positionH relativeFrom="column">
              <wp:posOffset>2657475</wp:posOffset>
            </wp:positionH>
            <wp:positionV relativeFrom="paragraph">
              <wp:posOffset>230505</wp:posOffset>
            </wp:positionV>
            <wp:extent cx="3095625" cy="1934680"/>
            <wp:effectExtent l="0" t="0" r="0" b="8890"/>
            <wp:wrapSquare wrapText="bothSides"/>
            <wp:docPr id="19843728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5625" cy="1934680"/>
                    </a:xfrm>
                    <a:prstGeom prst="rect">
                      <a:avLst/>
                    </a:prstGeom>
                    <a:noFill/>
                    <a:ln>
                      <a:noFill/>
                    </a:ln>
                  </pic:spPr>
                </pic:pic>
              </a:graphicData>
            </a:graphic>
            <wp14:sizeRelH relativeFrom="page">
              <wp14:pctWidth>0</wp14:pctWidth>
            </wp14:sizeRelH>
            <wp14:sizeRelV relativeFrom="page">
              <wp14:pctHeight>0</wp14:pctHeight>
            </wp14:sizeRelV>
          </wp:anchor>
        </w:drawing>
      </w:r>
      <w:r w:rsidR="009F5055" w:rsidRPr="00977562">
        <w:t>February 2, 2026</w:t>
      </w:r>
    </w:p>
    <w:p w14:paraId="1CC3FDEC" w14:textId="67F0938F" w:rsidR="009F5055" w:rsidRPr="00F046DC" w:rsidRDefault="009F5055" w:rsidP="00F046DC">
      <w:pPr>
        <w:spacing w:after="120"/>
        <w:rPr>
          <w:sz w:val="22"/>
          <w:szCs w:val="22"/>
        </w:rPr>
      </w:pPr>
      <w:r w:rsidRPr="00F046DC">
        <w:rPr>
          <w:sz w:val="22"/>
          <w:szCs w:val="22"/>
        </w:rPr>
        <w:t>Farms with a change in testing requirements will be notified by letter next month.</w:t>
      </w:r>
    </w:p>
    <w:p w14:paraId="29D56E9E" w14:textId="0C584232" w:rsidR="009F5055" w:rsidRPr="00F046DC" w:rsidRDefault="009F5055" w:rsidP="00F046DC">
      <w:pPr>
        <w:spacing w:after="120"/>
        <w:rPr>
          <w:sz w:val="22"/>
          <w:szCs w:val="22"/>
        </w:rPr>
      </w:pPr>
      <w:r w:rsidRPr="00F046DC">
        <w:rPr>
          <w:sz w:val="22"/>
          <w:szCs w:val="22"/>
        </w:rPr>
        <w:t>OSPRI will adjust its disease control areas on March 1 as it makes progress towards freedom from bovine tuberculosis.</w:t>
      </w:r>
    </w:p>
    <w:p w14:paraId="7C01688E" w14:textId="30F026B2" w:rsidR="009F5055" w:rsidRPr="00F046DC" w:rsidRDefault="00F046DC" w:rsidP="00F046DC">
      <w:pPr>
        <w:spacing w:after="120"/>
        <w:rPr>
          <w:sz w:val="22"/>
          <w:szCs w:val="22"/>
        </w:rPr>
      </w:pPr>
      <w:r w:rsidRPr="00F046DC">
        <w:rPr>
          <w:noProof/>
          <w:sz w:val="22"/>
          <w:szCs w:val="22"/>
        </w:rPr>
        <mc:AlternateContent>
          <mc:Choice Requires="wps">
            <w:drawing>
              <wp:anchor distT="45720" distB="45720" distL="114300" distR="114300" simplePos="0" relativeHeight="251660288" behindDoc="0" locked="0" layoutInCell="1" allowOverlap="1" wp14:anchorId="3201D1B1" wp14:editId="7D2B70AA">
                <wp:simplePos x="0" y="0"/>
                <wp:positionH relativeFrom="margin">
                  <wp:align>right</wp:align>
                </wp:positionH>
                <wp:positionV relativeFrom="paragraph">
                  <wp:posOffset>497205</wp:posOffset>
                </wp:positionV>
                <wp:extent cx="3095625" cy="7810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781050"/>
                        </a:xfrm>
                        <a:prstGeom prst="rect">
                          <a:avLst/>
                        </a:prstGeom>
                        <a:solidFill>
                          <a:srgbClr val="FFFFFF"/>
                        </a:solidFill>
                        <a:ln w="9525">
                          <a:noFill/>
                          <a:miter lim="800000"/>
                          <a:headEnd/>
                          <a:tailEnd/>
                        </a:ln>
                      </wps:spPr>
                      <wps:txbx>
                        <w:txbxContent>
                          <w:p w14:paraId="4BBFC562" w14:textId="77777777" w:rsidR="00F046DC" w:rsidRPr="00F046DC" w:rsidRDefault="00F046DC" w:rsidP="00F046DC">
                            <w:pPr>
                              <w:spacing w:after="120"/>
                              <w:rPr>
                                <w:sz w:val="20"/>
                                <w:szCs w:val="20"/>
                              </w:rPr>
                            </w:pPr>
                            <w:r w:rsidRPr="00F046DC">
                              <w:rPr>
                                <w:sz w:val="20"/>
                                <w:szCs w:val="20"/>
                              </w:rPr>
                              <w:t>Simon Andrew, deputy chief executive for strategy and programmes at OSPRI, says reducing Tb movement control areas shows hard work by farmers and OSPRI has continued to pay off. Photo: Supplied</w:t>
                            </w:r>
                          </w:p>
                          <w:p w14:paraId="5254401B" w14:textId="254B105F" w:rsidR="00F046DC" w:rsidRDefault="00F046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01D1B1" id="_x0000_t202" coordsize="21600,21600" o:spt="202" path="m,l,21600r21600,l21600,xe">
                <v:stroke joinstyle="miter"/>
                <v:path gradientshapeok="t" o:connecttype="rect"/>
              </v:shapetype>
              <v:shape id="Text Box 2" o:spid="_x0000_s1026" type="#_x0000_t202" style="position:absolute;margin-left:192.55pt;margin-top:39.15pt;width:243.75pt;height:61.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cmDQIAAPYDAAAOAAAAZHJzL2Uyb0RvYy54bWysU9tu2zAMfR+wfxD0vtjJkjYx4hRdugwD&#10;ugvQ7QNkWY6FyaJGKbG7ry8lp2nQvQ3TgyCK5BF5eLS+GTrDjgq9Blvy6STnTFkJtbb7kv/8sXu3&#10;5MwHYWthwKqSPyrPbzZv36x7V6gZtGBqhYxArC96V/I2BFdkmZet6oSfgFOWnA1gJwKZuM9qFD2h&#10;dyab5flV1gPWDkEq7+n2bnTyTcJvGiXDt6bxKjBTcqotpB3TXsU926xFsUfhWi1PZYh/qKIT2tKj&#10;Z6g7EQQ7oP4LqtMSwUMTJhK6DJpGS5V6oG6m+atuHlrhVOqFyPHuTJP/f7Dy6/HBfUcWhg8w0ABT&#10;E97dg/zlmYVtK+xe3SJC3ypR08PTSFnWO1+cUiPVvvARpOq/QE1DFocACWhosIusUJ+M0GkAj2fS&#10;1RCYpMv3+WpxNVtwJsl3vZzmizSVTBTP2Q59+KSgY/FQcqShJnRxvPchViOK55D4mAej6502Jhm4&#10;r7YG2VGQAHZppQZehRnL+pKvFlRHzLIQ85M2Oh1IoEZ3JV/mcY2SiWx8tHUKCUKb8UyVGHuiJzIy&#10;chOGaqDASFMF9SMRhTAKkT4OHVrAP5z1JMKS+98HgYoz89kS2avpfB5Vm4z54npGBl56qkuPsJKg&#10;Sh44G4/bkJQ+dnRLQ2l04uulklOtJK5E4+kjRPVe2inq5btungAAAP//AwBQSwMEFAAGAAgAAAAh&#10;AOqydeXcAAAABwEAAA8AAABkcnMvZG93bnJldi54bWxMj81OwzAQhO9IvIO1SFwQdfqbNM2mAiQQ&#10;15Y+wCbZJhHxOordJn17zAmOoxnNfJPtJ9OpKw+utYIwn0WgWEpbtVIjnL7enxNQzpNU1FlhhBs7&#10;2Of3dxmllR3lwNejr1UoEZcSQuN9n2rtyoYNuZntWYJ3toMhH+RQ62qgMZSbTi+iaKMNtRIWGur5&#10;reHy+3gxCOfP8Wm9HYsPf4oPq80rtXFhb4iPD9PLDpTnyf+F4Rc/oEMemAp7kcqpDiEc8QhxsgQV&#10;3FUSr0EVCItovgSdZ/o/f/4DAAD//wMAUEsBAi0AFAAGAAgAAAAhALaDOJL+AAAA4QEAABMAAAAA&#10;AAAAAAAAAAAAAAAAAFtDb250ZW50X1R5cGVzXS54bWxQSwECLQAUAAYACAAAACEAOP0h/9YAAACU&#10;AQAACwAAAAAAAAAAAAAAAAAvAQAAX3JlbHMvLnJlbHNQSwECLQAUAAYACAAAACEAlBIHJg0CAAD2&#10;AwAADgAAAAAAAAAAAAAAAAAuAgAAZHJzL2Uyb0RvYy54bWxQSwECLQAUAAYACAAAACEA6rJ15dwA&#10;AAAHAQAADwAAAAAAAAAAAAAAAABnBAAAZHJzL2Rvd25yZXYueG1sUEsFBgAAAAAEAAQA8wAAAHAF&#10;AAAAAA==&#10;" stroked="f">
                <v:textbox>
                  <w:txbxContent>
                    <w:p w14:paraId="4BBFC562" w14:textId="77777777" w:rsidR="00F046DC" w:rsidRPr="00F046DC" w:rsidRDefault="00F046DC" w:rsidP="00F046DC">
                      <w:pPr>
                        <w:spacing w:after="120"/>
                        <w:rPr>
                          <w:sz w:val="20"/>
                          <w:szCs w:val="20"/>
                        </w:rPr>
                      </w:pPr>
                      <w:r w:rsidRPr="00F046DC">
                        <w:rPr>
                          <w:sz w:val="20"/>
                          <w:szCs w:val="20"/>
                        </w:rPr>
                        <w:t>Simon Andrew, deputy chief executive for strategy and programmes at OSPRI, says reducing Tb movement control areas shows hard work by farmers and OSPRI has continued to pay off. Photo: Supplied</w:t>
                      </w:r>
                    </w:p>
                    <w:p w14:paraId="5254401B" w14:textId="254B105F" w:rsidR="00F046DC" w:rsidRDefault="00F046DC"/>
                  </w:txbxContent>
                </v:textbox>
                <w10:wrap type="square" anchorx="margin"/>
              </v:shape>
            </w:pict>
          </mc:Fallback>
        </mc:AlternateContent>
      </w:r>
      <w:r w:rsidR="009F5055" w:rsidRPr="00F046DC">
        <w:rPr>
          <w:sz w:val="22"/>
          <w:szCs w:val="22"/>
        </w:rPr>
        <w:t>New Zealand is divided into four disease control area (DCA) types, each with different Tb testing frequencies and movement control measures, depending on the risk of Tb being transferred from infected wildlife to cattle and deer.</w:t>
      </w:r>
    </w:p>
    <w:p w14:paraId="5D150286" w14:textId="77777777" w:rsidR="009F5055" w:rsidRPr="00F046DC" w:rsidRDefault="009F5055" w:rsidP="00F046DC">
      <w:pPr>
        <w:spacing w:after="120"/>
        <w:rPr>
          <w:sz w:val="22"/>
          <w:szCs w:val="22"/>
        </w:rPr>
      </w:pPr>
      <w:r w:rsidRPr="00F046DC">
        <w:rPr>
          <w:sz w:val="22"/>
          <w:szCs w:val="22"/>
        </w:rPr>
        <w:t xml:space="preserve">This year specific movement control areas (MCAs) in the Greater Wellington region, Karamea region and the </w:t>
      </w:r>
      <w:proofErr w:type="spellStart"/>
      <w:r w:rsidRPr="00F046DC">
        <w:rPr>
          <w:sz w:val="22"/>
          <w:szCs w:val="22"/>
        </w:rPr>
        <w:t>Taramakau</w:t>
      </w:r>
      <w:proofErr w:type="spellEnd"/>
      <w:r w:rsidRPr="00F046DC">
        <w:rPr>
          <w:sz w:val="22"/>
          <w:szCs w:val="22"/>
        </w:rPr>
        <w:t>/Upper Ahaura region will be removed.</w:t>
      </w:r>
    </w:p>
    <w:p w14:paraId="0A0EC119" w14:textId="77777777" w:rsidR="009F5055" w:rsidRPr="00F046DC" w:rsidRDefault="009F5055" w:rsidP="00F046DC">
      <w:pPr>
        <w:spacing w:after="120"/>
        <w:rPr>
          <w:sz w:val="22"/>
          <w:szCs w:val="22"/>
        </w:rPr>
      </w:pPr>
      <w:r w:rsidRPr="00F046DC">
        <w:rPr>
          <w:sz w:val="22"/>
          <w:szCs w:val="22"/>
        </w:rPr>
        <w:t xml:space="preserve">MCAs affecting Marlborough and West Coast’s </w:t>
      </w:r>
      <w:proofErr w:type="spellStart"/>
      <w:r w:rsidRPr="00F046DC">
        <w:rPr>
          <w:sz w:val="22"/>
          <w:szCs w:val="22"/>
        </w:rPr>
        <w:t>Mikonui</w:t>
      </w:r>
      <w:proofErr w:type="spellEnd"/>
      <w:r w:rsidRPr="00F046DC">
        <w:rPr>
          <w:sz w:val="22"/>
          <w:szCs w:val="22"/>
        </w:rPr>
        <w:t xml:space="preserve"> and Tōtara rivers will reduce.</w:t>
      </w:r>
    </w:p>
    <w:p w14:paraId="73129D91" w14:textId="77777777" w:rsidR="009F5055" w:rsidRPr="00F046DC" w:rsidRDefault="009F5055" w:rsidP="00F046DC">
      <w:pPr>
        <w:spacing w:after="120"/>
        <w:rPr>
          <w:sz w:val="22"/>
          <w:szCs w:val="22"/>
        </w:rPr>
      </w:pPr>
      <w:r w:rsidRPr="00F046DC">
        <w:rPr>
          <w:sz w:val="22"/>
          <w:szCs w:val="22"/>
        </w:rPr>
        <w:t>Deputy chief executive for strategy and programmes at OSPRI Simon Andrew said the reduction demonstrates that the programme in those areas is reaching a point where the risk to farmers is reducing.</w:t>
      </w:r>
    </w:p>
    <w:p w14:paraId="2C33BA70" w14:textId="77777777" w:rsidR="009F5055" w:rsidRPr="00F046DC" w:rsidRDefault="009F5055" w:rsidP="00F046DC">
      <w:pPr>
        <w:spacing w:after="120"/>
        <w:rPr>
          <w:sz w:val="22"/>
          <w:szCs w:val="22"/>
        </w:rPr>
      </w:pPr>
      <w:r w:rsidRPr="00F046DC">
        <w:rPr>
          <w:sz w:val="22"/>
          <w:szCs w:val="22"/>
        </w:rPr>
        <w:t>Ongoing surveillance is still in place across the country in MCAs, he said.</w:t>
      </w:r>
    </w:p>
    <w:p w14:paraId="578430C7" w14:textId="77777777" w:rsidR="009F5055" w:rsidRPr="00F046DC" w:rsidRDefault="009F5055" w:rsidP="00F046DC">
      <w:pPr>
        <w:spacing w:after="120"/>
        <w:rPr>
          <w:sz w:val="22"/>
          <w:szCs w:val="22"/>
        </w:rPr>
      </w:pPr>
      <w:r w:rsidRPr="00F046DC">
        <w:rPr>
          <w:sz w:val="22"/>
          <w:szCs w:val="22"/>
        </w:rPr>
        <w:t>NAIT tagging and registration is key in the fight against Tb, Andrew told Farmers Weekly.</w:t>
      </w:r>
    </w:p>
    <w:p w14:paraId="0550372F" w14:textId="77777777" w:rsidR="009F5055" w:rsidRPr="00F046DC" w:rsidRDefault="009F5055" w:rsidP="00F046DC">
      <w:pPr>
        <w:spacing w:after="120"/>
        <w:rPr>
          <w:sz w:val="22"/>
          <w:szCs w:val="22"/>
        </w:rPr>
      </w:pPr>
      <w:r w:rsidRPr="00F046DC">
        <w:rPr>
          <w:sz w:val="22"/>
          <w:szCs w:val="22"/>
        </w:rPr>
        <w:t>The decision to adjust control areas is made annually in conjunction with OSPRI disease experts, who consider data from surveillance, such as testing on farms and surveillance at slaughter, and pest control, Andrew said.</w:t>
      </w:r>
    </w:p>
    <w:p w14:paraId="7161C756" w14:textId="77777777" w:rsidR="009F5055" w:rsidRPr="00F046DC" w:rsidRDefault="009F5055" w:rsidP="00F046DC">
      <w:pPr>
        <w:spacing w:after="120"/>
        <w:rPr>
          <w:sz w:val="22"/>
          <w:szCs w:val="22"/>
        </w:rPr>
      </w:pPr>
      <w:r w:rsidRPr="00F046DC">
        <w:rPr>
          <w:sz w:val="22"/>
          <w:szCs w:val="22"/>
        </w:rPr>
        <w:t>OSPRI said any farm experiencing a change in testing requirements will be notified by letter next month.  </w:t>
      </w:r>
    </w:p>
    <w:p w14:paraId="4F291019" w14:textId="77777777" w:rsidR="009F5055" w:rsidRPr="00F046DC" w:rsidRDefault="009F5055" w:rsidP="00F046DC">
      <w:pPr>
        <w:spacing w:after="120"/>
        <w:rPr>
          <w:sz w:val="22"/>
          <w:szCs w:val="22"/>
        </w:rPr>
      </w:pPr>
      <w:r w:rsidRPr="00F046DC">
        <w:rPr>
          <w:sz w:val="22"/>
          <w:szCs w:val="22"/>
        </w:rPr>
        <w:t>Success in 2025 included another 249,615 hectares declared Tb free, with only 13 Tb-infected herds by the end of 2025.</w:t>
      </w:r>
    </w:p>
    <w:p w14:paraId="755B719C" w14:textId="77777777" w:rsidR="009F5055" w:rsidRPr="00F046DC" w:rsidRDefault="009F5055" w:rsidP="00F046DC">
      <w:pPr>
        <w:spacing w:after="120"/>
        <w:rPr>
          <w:sz w:val="22"/>
          <w:szCs w:val="22"/>
        </w:rPr>
      </w:pPr>
      <w:r w:rsidRPr="00F046DC">
        <w:rPr>
          <w:sz w:val="22"/>
          <w:szCs w:val="22"/>
        </w:rPr>
        <w:t>NAIT stats kept improving, with registration of animals prior to movement at 94%.</w:t>
      </w:r>
    </w:p>
    <w:p w14:paraId="50226867" w14:textId="77777777" w:rsidR="009F5055" w:rsidRPr="00F046DC" w:rsidRDefault="009F5055" w:rsidP="00F046DC">
      <w:pPr>
        <w:spacing w:after="120"/>
        <w:rPr>
          <w:sz w:val="22"/>
          <w:szCs w:val="22"/>
        </w:rPr>
      </w:pPr>
      <w:r w:rsidRPr="00F046DC">
        <w:rPr>
          <w:sz w:val="22"/>
          <w:szCs w:val="22"/>
        </w:rPr>
        <w:t>Tb testing services became part of OSPRI, saving costs.</w:t>
      </w:r>
    </w:p>
    <w:p w14:paraId="530C25A3" w14:textId="2750C41D" w:rsidR="009F5055" w:rsidRDefault="00F046DC" w:rsidP="00F046DC">
      <w:pPr>
        <w:jc w:val="center"/>
      </w:pPr>
      <w:r>
        <w:rPr>
          <w:noProof/>
        </w:rPr>
        <w:lastRenderedPageBreak/>
        <w:drawing>
          <wp:inline distT="0" distB="0" distL="0" distR="0" wp14:anchorId="60804D7F" wp14:editId="3529ED7C">
            <wp:extent cx="3476625" cy="8662393"/>
            <wp:effectExtent l="0" t="0" r="0" b="5715"/>
            <wp:docPr id="672449040" name="Picture 2" descr="Map showing Disease Control Area boundaries in New Zealand. Disease Control Areas shown include Movement Control Areas (in orange), Annual Special Testing Areas (in light green), Biennial Special Testing Areas (in darker green), Surveillance Areas (in dark grey), and a new Movement Control Area (in orange cross-hatch). Above the South Island is a round inset featuring the new Central Otago Movement Control Area. A line extends from the inset to the corresponding area of the South Islan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showing Disease Control Area boundaries in New Zealand. Disease Control Areas shown include Movement Control Areas (in orange), Annual Special Testing Areas (in light green), Biennial Special Testing Areas (in darker green), Surveillance Areas (in dark grey), and a new Movement Control Area (in orange cross-hatch). Above the South Island is a round inset featuring the new Central Otago Movement Control Area. A line extends from the inset to the corresponding area of the South Island m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4192" cy="8681246"/>
                    </a:xfrm>
                    <a:prstGeom prst="rect">
                      <a:avLst/>
                    </a:prstGeom>
                    <a:noFill/>
                    <a:ln>
                      <a:noFill/>
                    </a:ln>
                  </pic:spPr>
                </pic:pic>
              </a:graphicData>
            </a:graphic>
          </wp:inline>
        </w:drawing>
      </w:r>
    </w:p>
    <w:p w14:paraId="481A55F4" w14:textId="3B75886C" w:rsidR="009F5055" w:rsidRPr="00F046DC" w:rsidRDefault="009F5055" w:rsidP="009F5055">
      <w:pPr>
        <w:rPr>
          <w:b/>
          <w:bCs/>
          <w:sz w:val="22"/>
          <w:szCs w:val="22"/>
        </w:rPr>
      </w:pPr>
      <w:r w:rsidRPr="009F5055">
        <w:rPr>
          <w:b/>
          <w:bCs/>
          <w:sz w:val="22"/>
          <w:szCs w:val="22"/>
        </w:rPr>
        <w:lastRenderedPageBreak/>
        <w:t>Read the information and answer the questions below.</w:t>
      </w:r>
    </w:p>
    <w:p w14:paraId="3560590B" w14:textId="77777777" w:rsidR="009F5055" w:rsidRPr="00F046DC" w:rsidRDefault="009F5055" w:rsidP="00F046DC">
      <w:pPr>
        <w:numPr>
          <w:ilvl w:val="0"/>
          <w:numId w:val="1"/>
        </w:numPr>
        <w:tabs>
          <w:tab w:val="num" w:pos="720"/>
        </w:tabs>
        <w:spacing w:after="120"/>
        <w:ind w:left="357" w:hanging="357"/>
        <w:rPr>
          <w:sz w:val="22"/>
          <w:szCs w:val="22"/>
        </w:rPr>
      </w:pPr>
      <w:r w:rsidRPr="00F046DC">
        <w:rPr>
          <w:sz w:val="22"/>
          <w:szCs w:val="22"/>
        </w:rPr>
        <w:t>What is the main reason OSPRI is reducing some disease control areas (DCAs) and movement control areas (MCAs) in New Zealand?</w:t>
      </w:r>
    </w:p>
    <w:p w14:paraId="4C44C7F2" w14:textId="77777777" w:rsidR="009F5055" w:rsidRPr="00F046DC" w:rsidRDefault="009F5055" w:rsidP="00F046DC">
      <w:pPr>
        <w:numPr>
          <w:ilvl w:val="0"/>
          <w:numId w:val="1"/>
        </w:numPr>
        <w:tabs>
          <w:tab w:val="num" w:pos="720"/>
        </w:tabs>
        <w:spacing w:after="120"/>
        <w:ind w:left="357" w:hanging="357"/>
        <w:rPr>
          <w:sz w:val="22"/>
          <w:szCs w:val="22"/>
        </w:rPr>
      </w:pPr>
      <w:r w:rsidRPr="00F046DC">
        <w:rPr>
          <w:sz w:val="22"/>
          <w:szCs w:val="22"/>
        </w:rPr>
        <w:t>Name two regions where MCAs will be removed or reduced.</w:t>
      </w:r>
    </w:p>
    <w:p w14:paraId="05B77DA9" w14:textId="77777777" w:rsidR="009F5055" w:rsidRPr="00F046DC" w:rsidRDefault="009F5055" w:rsidP="00F046DC">
      <w:pPr>
        <w:numPr>
          <w:ilvl w:val="0"/>
          <w:numId w:val="1"/>
        </w:numPr>
        <w:tabs>
          <w:tab w:val="num" w:pos="720"/>
        </w:tabs>
        <w:spacing w:after="120"/>
        <w:ind w:left="357" w:hanging="357"/>
        <w:rPr>
          <w:sz w:val="22"/>
          <w:szCs w:val="22"/>
        </w:rPr>
      </w:pPr>
      <w:r w:rsidRPr="00F046DC">
        <w:rPr>
          <w:sz w:val="22"/>
          <w:szCs w:val="22"/>
        </w:rPr>
        <w:t>Why is NAIT tagging and registration important in the fight against bovine TB?</w:t>
      </w:r>
    </w:p>
    <w:p w14:paraId="6B5C81B3" w14:textId="77777777" w:rsidR="009F5055" w:rsidRPr="00F046DC" w:rsidRDefault="009F5055" w:rsidP="00F046DC">
      <w:pPr>
        <w:numPr>
          <w:ilvl w:val="0"/>
          <w:numId w:val="1"/>
        </w:numPr>
        <w:tabs>
          <w:tab w:val="num" w:pos="720"/>
        </w:tabs>
        <w:spacing w:after="120"/>
        <w:ind w:left="357" w:hanging="357"/>
        <w:rPr>
          <w:sz w:val="22"/>
          <w:szCs w:val="22"/>
        </w:rPr>
      </w:pPr>
      <w:r w:rsidRPr="00F046DC">
        <w:rPr>
          <w:sz w:val="22"/>
          <w:szCs w:val="22"/>
        </w:rPr>
        <w:t>How many hectares were declared TB-free in 2025?</w:t>
      </w:r>
    </w:p>
    <w:p w14:paraId="56E8B0E7" w14:textId="77777777" w:rsidR="009F5055" w:rsidRPr="00F046DC" w:rsidRDefault="009F5055" w:rsidP="00F046DC">
      <w:pPr>
        <w:numPr>
          <w:ilvl w:val="0"/>
          <w:numId w:val="1"/>
        </w:numPr>
        <w:tabs>
          <w:tab w:val="num" w:pos="720"/>
        </w:tabs>
        <w:spacing w:after="120"/>
        <w:ind w:left="357" w:hanging="357"/>
        <w:rPr>
          <w:sz w:val="22"/>
          <w:szCs w:val="22"/>
        </w:rPr>
      </w:pPr>
      <w:r w:rsidRPr="00F046DC">
        <w:rPr>
          <w:sz w:val="22"/>
          <w:szCs w:val="22"/>
        </w:rPr>
        <w:t>How many TB-infected herds were there at the end of 2025?</w:t>
      </w:r>
    </w:p>
    <w:p w14:paraId="37D777F1" w14:textId="77777777" w:rsidR="009F5055" w:rsidRPr="00F046DC" w:rsidRDefault="009F5055" w:rsidP="00F046DC">
      <w:pPr>
        <w:numPr>
          <w:ilvl w:val="0"/>
          <w:numId w:val="1"/>
        </w:numPr>
        <w:tabs>
          <w:tab w:val="num" w:pos="720"/>
        </w:tabs>
        <w:spacing w:after="120"/>
        <w:ind w:left="357" w:hanging="357"/>
        <w:rPr>
          <w:sz w:val="22"/>
          <w:szCs w:val="22"/>
        </w:rPr>
      </w:pPr>
      <w:r w:rsidRPr="00F046DC">
        <w:rPr>
          <w:sz w:val="22"/>
          <w:szCs w:val="22"/>
        </w:rPr>
        <w:t>How does OSPRI decide which control areas to adjust?</w:t>
      </w:r>
    </w:p>
    <w:p w14:paraId="74B69693" w14:textId="77777777" w:rsidR="009F5055" w:rsidRDefault="009F5055" w:rsidP="009F5055">
      <w:r>
        <w:br w:type="page"/>
      </w:r>
    </w:p>
    <w:p w14:paraId="02E4C9CA" w14:textId="26FF653D" w:rsidR="009F5055" w:rsidRPr="00F046DC" w:rsidRDefault="009F5055" w:rsidP="009F5055">
      <w:pPr>
        <w:rPr>
          <w:b/>
          <w:bCs/>
          <w:sz w:val="22"/>
          <w:szCs w:val="22"/>
        </w:rPr>
      </w:pPr>
      <w:r w:rsidRPr="00F046DC">
        <w:rPr>
          <w:b/>
          <w:bCs/>
          <w:sz w:val="22"/>
          <w:szCs w:val="22"/>
        </w:rPr>
        <w:lastRenderedPageBreak/>
        <w:t xml:space="preserve">Answers </w:t>
      </w:r>
    </w:p>
    <w:p w14:paraId="1E1DEF66" w14:textId="77777777" w:rsidR="009F5055" w:rsidRPr="00F046DC" w:rsidRDefault="009F5055" w:rsidP="00F046DC">
      <w:pPr>
        <w:numPr>
          <w:ilvl w:val="0"/>
          <w:numId w:val="2"/>
        </w:numPr>
        <w:tabs>
          <w:tab w:val="num" w:pos="720"/>
        </w:tabs>
        <w:spacing w:after="120"/>
        <w:ind w:hanging="357"/>
        <w:rPr>
          <w:sz w:val="22"/>
          <w:szCs w:val="22"/>
        </w:rPr>
      </w:pPr>
      <w:r w:rsidRPr="00F046DC">
        <w:rPr>
          <w:sz w:val="22"/>
          <w:szCs w:val="22"/>
        </w:rPr>
        <w:t>What is the main reason OSPRI is reducing some disease control areas (DCAs) and movement control areas (MCAs) in New Zealand?</w:t>
      </w:r>
    </w:p>
    <w:p w14:paraId="7D75EB8D" w14:textId="77777777" w:rsidR="009F5055" w:rsidRPr="00F046DC" w:rsidRDefault="009F5055" w:rsidP="00F046DC">
      <w:pPr>
        <w:numPr>
          <w:ilvl w:val="1"/>
          <w:numId w:val="2"/>
        </w:numPr>
        <w:tabs>
          <w:tab w:val="num" w:pos="1440"/>
        </w:tabs>
        <w:spacing w:after="120"/>
        <w:ind w:hanging="357"/>
        <w:rPr>
          <w:sz w:val="22"/>
          <w:szCs w:val="22"/>
        </w:rPr>
      </w:pPr>
      <w:r w:rsidRPr="00F046DC">
        <w:rPr>
          <w:sz w:val="22"/>
          <w:szCs w:val="22"/>
        </w:rPr>
        <w:t>Because hard work by farmers and OSPRI has reduced the risk of TB, showing progress towards freedom from bovine TB.</w:t>
      </w:r>
    </w:p>
    <w:p w14:paraId="2FDA8CB7" w14:textId="77777777" w:rsidR="009F5055" w:rsidRPr="00F046DC" w:rsidRDefault="009F5055" w:rsidP="00F046DC">
      <w:pPr>
        <w:numPr>
          <w:ilvl w:val="0"/>
          <w:numId w:val="2"/>
        </w:numPr>
        <w:tabs>
          <w:tab w:val="num" w:pos="720"/>
        </w:tabs>
        <w:spacing w:after="120"/>
        <w:ind w:hanging="357"/>
        <w:rPr>
          <w:sz w:val="22"/>
          <w:szCs w:val="22"/>
        </w:rPr>
      </w:pPr>
      <w:r w:rsidRPr="00F046DC">
        <w:rPr>
          <w:sz w:val="22"/>
          <w:szCs w:val="22"/>
        </w:rPr>
        <w:t>Name two regions where MCAs will be removed or reduced.</w:t>
      </w:r>
    </w:p>
    <w:p w14:paraId="6E551222" w14:textId="77777777" w:rsidR="009F5055" w:rsidRPr="00F046DC" w:rsidRDefault="009F5055" w:rsidP="00F046DC">
      <w:pPr>
        <w:numPr>
          <w:ilvl w:val="1"/>
          <w:numId w:val="2"/>
        </w:numPr>
        <w:tabs>
          <w:tab w:val="num" w:pos="1440"/>
        </w:tabs>
        <w:spacing w:after="120"/>
        <w:ind w:hanging="357"/>
        <w:rPr>
          <w:sz w:val="22"/>
          <w:szCs w:val="22"/>
        </w:rPr>
      </w:pPr>
      <w:r w:rsidRPr="00F046DC">
        <w:rPr>
          <w:sz w:val="22"/>
          <w:szCs w:val="22"/>
        </w:rPr>
        <w:t xml:space="preserve">Greater Wellington, Karamea, </w:t>
      </w:r>
      <w:proofErr w:type="spellStart"/>
      <w:r w:rsidRPr="00F046DC">
        <w:rPr>
          <w:sz w:val="22"/>
          <w:szCs w:val="22"/>
        </w:rPr>
        <w:t>Taramakau</w:t>
      </w:r>
      <w:proofErr w:type="spellEnd"/>
      <w:r w:rsidRPr="00F046DC">
        <w:rPr>
          <w:sz w:val="22"/>
          <w:szCs w:val="22"/>
        </w:rPr>
        <w:t>/Upper Ahaura (any two of these)</w:t>
      </w:r>
    </w:p>
    <w:p w14:paraId="50A59165" w14:textId="77777777" w:rsidR="009F5055" w:rsidRPr="00F046DC" w:rsidRDefault="009F5055" w:rsidP="00F046DC">
      <w:pPr>
        <w:numPr>
          <w:ilvl w:val="1"/>
          <w:numId w:val="2"/>
        </w:numPr>
        <w:tabs>
          <w:tab w:val="num" w:pos="1440"/>
        </w:tabs>
        <w:spacing w:after="120"/>
        <w:ind w:hanging="357"/>
        <w:rPr>
          <w:sz w:val="22"/>
          <w:szCs w:val="22"/>
        </w:rPr>
      </w:pPr>
      <w:r w:rsidRPr="00F046DC">
        <w:rPr>
          <w:sz w:val="22"/>
          <w:szCs w:val="22"/>
        </w:rPr>
        <w:t xml:space="preserve">Also, MCAs affecting Marlborough and West Coast’s </w:t>
      </w:r>
      <w:proofErr w:type="spellStart"/>
      <w:r w:rsidRPr="00F046DC">
        <w:rPr>
          <w:sz w:val="22"/>
          <w:szCs w:val="22"/>
        </w:rPr>
        <w:t>Mikonui</w:t>
      </w:r>
      <w:proofErr w:type="spellEnd"/>
      <w:r w:rsidRPr="00F046DC">
        <w:rPr>
          <w:sz w:val="22"/>
          <w:szCs w:val="22"/>
        </w:rPr>
        <w:t xml:space="preserve"> and Tōtara rivers will reduce.</w:t>
      </w:r>
    </w:p>
    <w:p w14:paraId="7AC7B105" w14:textId="77777777" w:rsidR="009F5055" w:rsidRPr="00F046DC" w:rsidRDefault="009F5055" w:rsidP="00F046DC">
      <w:pPr>
        <w:numPr>
          <w:ilvl w:val="0"/>
          <w:numId w:val="2"/>
        </w:numPr>
        <w:tabs>
          <w:tab w:val="num" w:pos="720"/>
        </w:tabs>
        <w:spacing w:after="120"/>
        <w:ind w:hanging="357"/>
        <w:rPr>
          <w:sz w:val="22"/>
          <w:szCs w:val="22"/>
        </w:rPr>
      </w:pPr>
      <w:r w:rsidRPr="00F046DC">
        <w:rPr>
          <w:sz w:val="22"/>
          <w:szCs w:val="22"/>
        </w:rPr>
        <w:t>Why is NAIT tagging and registration important in the fight against bovine TB?</w:t>
      </w:r>
    </w:p>
    <w:p w14:paraId="59DF0B25" w14:textId="77777777" w:rsidR="009F5055" w:rsidRPr="00F046DC" w:rsidRDefault="009F5055" w:rsidP="00F046DC">
      <w:pPr>
        <w:numPr>
          <w:ilvl w:val="1"/>
          <w:numId w:val="2"/>
        </w:numPr>
        <w:tabs>
          <w:tab w:val="num" w:pos="1440"/>
        </w:tabs>
        <w:spacing w:after="120"/>
        <w:ind w:hanging="357"/>
        <w:rPr>
          <w:sz w:val="22"/>
          <w:szCs w:val="22"/>
        </w:rPr>
      </w:pPr>
      <w:r w:rsidRPr="00F046DC">
        <w:rPr>
          <w:sz w:val="22"/>
          <w:szCs w:val="22"/>
        </w:rPr>
        <w:t>It helps track animals and their movements, which reduces the risk of spreading TB and allows better disease control.</w:t>
      </w:r>
    </w:p>
    <w:p w14:paraId="5CBB6DDF" w14:textId="77777777" w:rsidR="009F5055" w:rsidRPr="00F046DC" w:rsidRDefault="009F5055" w:rsidP="00F046DC">
      <w:pPr>
        <w:numPr>
          <w:ilvl w:val="0"/>
          <w:numId w:val="2"/>
        </w:numPr>
        <w:tabs>
          <w:tab w:val="num" w:pos="720"/>
        </w:tabs>
        <w:spacing w:after="120"/>
        <w:ind w:hanging="357"/>
        <w:rPr>
          <w:sz w:val="22"/>
          <w:szCs w:val="22"/>
        </w:rPr>
      </w:pPr>
      <w:r w:rsidRPr="00F046DC">
        <w:rPr>
          <w:sz w:val="22"/>
          <w:szCs w:val="22"/>
        </w:rPr>
        <w:t>How many hectares were declared TB-free in 2025?</w:t>
      </w:r>
    </w:p>
    <w:p w14:paraId="1D72DF47" w14:textId="77777777" w:rsidR="009F5055" w:rsidRPr="00F046DC" w:rsidRDefault="009F5055" w:rsidP="00F046DC">
      <w:pPr>
        <w:numPr>
          <w:ilvl w:val="1"/>
          <w:numId w:val="2"/>
        </w:numPr>
        <w:tabs>
          <w:tab w:val="num" w:pos="1440"/>
        </w:tabs>
        <w:spacing w:after="120"/>
        <w:ind w:hanging="357"/>
        <w:rPr>
          <w:sz w:val="22"/>
          <w:szCs w:val="22"/>
        </w:rPr>
      </w:pPr>
      <w:r w:rsidRPr="00F046DC">
        <w:rPr>
          <w:sz w:val="22"/>
          <w:szCs w:val="22"/>
        </w:rPr>
        <w:t>249,615 hectares.</w:t>
      </w:r>
    </w:p>
    <w:p w14:paraId="5AEC6369" w14:textId="77777777" w:rsidR="009F5055" w:rsidRPr="00F046DC" w:rsidRDefault="009F5055" w:rsidP="00F046DC">
      <w:pPr>
        <w:numPr>
          <w:ilvl w:val="0"/>
          <w:numId w:val="2"/>
        </w:numPr>
        <w:tabs>
          <w:tab w:val="num" w:pos="720"/>
        </w:tabs>
        <w:spacing w:after="120"/>
        <w:ind w:hanging="357"/>
        <w:rPr>
          <w:sz w:val="22"/>
          <w:szCs w:val="22"/>
        </w:rPr>
      </w:pPr>
      <w:r w:rsidRPr="00F046DC">
        <w:rPr>
          <w:sz w:val="22"/>
          <w:szCs w:val="22"/>
        </w:rPr>
        <w:t>How many TB-infected herds were there at the end of 2025?</w:t>
      </w:r>
    </w:p>
    <w:p w14:paraId="39AE8AF6" w14:textId="77777777" w:rsidR="009F5055" w:rsidRPr="00F046DC" w:rsidRDefault="009F5055" w:rsidP="00F046DC">
      <w:pPr>
        <w:numPr>
          <w:ilvl w:val="1"/>
          <w:numId w:val="2"/>
        </w:numPr>
        <w:tabs>
          <w:tab w:val="num" w:pos="1440"/>
        </w:tabs>
        <w:spacing w:after="120"/>
        <w:ind w:hanging="357"/>
        <w:rPr>
          <w:sz w:val="22"/>
          <w:szCs w:val="22"/>
        </w:rPr>
      </w:pPr>
      <w:r w:rsidRPr="00F046DC">
        <w:rPr>
          <w:sz w:val="22"/>
          <w:szCs w:val="22"/>
        </w:rPr>
        <w:t>13 herds.</w:t>
      </w:r>
    </w:p>
    <w:p w14:paraId="7815D4B5" w14:textId="77777777" w:rsidR="009F5055" w:rsidRPr="00F046DC" w:rsidRDefault="009F5055" w:rsidP="00F046DC">
      <w:pPr>
        <w:numPr>
          <w:ilvl w:val="0"/>
          <w:numId w:val="2"/>
        </w:numPr>
        <w:tabs>
          <w:tab w:val="num" w:pos="720"/>
        </w:tabs>
        <w:spacing w:after="120"/>
        <w:ind w:hanging="357"/>
        <w:rPr>
          <w:sz w:val="22"/>
          <w:szCs w:val="22"/>
        </w:rPr>
      </w:pPr>
      <w:r w:rsidRPr="00F046DC">
        <w:rPr>
          <w:sz w:val="22"/>
          <w:szCs w:val="22"/>
        </w:rPr>
        <w:t>How does OSPRI decide which control areas to adjust?</w:t>
      </w:r>
    </w:p>
    <w:p w14:paraId="788E1FAF" w14:textId="77777777" w:rsidR="009F5055" w:rsidRPr="00F046DC" w:rsidRDefault="009F5055" w:rsidP="00F046DC">
      <w:pPr>
        <w:numPr>
          <w:ilvl w:val="1"/>
          <w:numId w:val="2"/>
        </w:numPr>
        <w:tabs>
          <w:tab w:val="num" w:pos="1440"/>
        </w:tabs>
        <w:spacing w:after="120"/>
        <w:ind w:hanging="357"/>
        <w:rPr>
          <w:sz w:val="22"/>
          <w:szCs w:val="22"/>
        </w:rPr>
      </w:pPr>
      <w:r w:rsidRPr="00F046DC">
        <w:rPr>
          <w:sz w:val="22"/>
          <w:szCs w:val="22"/>
        </w:rPr>
        <w:t>By using data from surveillance, including farm testing, slaughter monitoring, and pest control, with advice from OSPRI disease experts.</w:t>
      </w:r>
    </w:p>
    <w:p w14:paraId="7C8C2F8D" w14:textId="77777777" w:rsidR="009F5055" w:rsidRDefault="009F5055" w:rsidP="009F5055"/>
    <w:p w14:paraId="030F5311" w14:textId="77777777" w:rsidR="00C23EE4" w:rsidRDefault="00C23EE4"/>
    <w:sectPr w:rsidR="00C23EE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BC9EE" w14:textId="77777777" w:rsidR="00500F1F" w:rsidRDefault="00500F1F" w:rsidP="003232BF">
      <w:pPr>
        <w:spacing w:after="0" w:line="240" w:lineRule="auto"/>
      </w:pPr>
      <w:r>
        <w:separator/>
      </w:r>
    </w:p>
  </w:endnote>
  <w:endnote w:type="continuationSeparator" w:id="0">
    <w:p w14:paraId="54D99399" w14:textId="77777777" w:rsidR="00500F1F" w:rsidRDefault="00500F1F" w:rsidP="00323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0DEF" w14:textId="63F0E37D" w:rsidR="003232BF" w:rsidRDefault="003232BF">
    <w:pPr>
      <w:pStyle w:val="Footer"/>
    </w:pPr>
    <w:r>
      <w:rPr>
        <w:noProof/>
      </w:rPr>
      <w:drawing>
        <wp:anchor distT="0" distB="0" distL="114300" distR="114300" simplePos="0" relativeHeight="251659264" behindDoc="1" locked="0" layoutInCell="1" allowOverlap="1" wp14:anchorId="2B542953" wp14:editId="7B607B1C">
          <wp:simplePos x="0" y="0"/>
          <wp:positionH relativeFrom="margin">
            <wp:align>center</wp:align>
          </wp:positionH>
          <wp:positionV relativeFrom="paragraph">
            <wp:posOffset>-142875</wp:posOffset>
          </wp:positionV>
          <wp:extent cx="4768878" cy="534508"/>
          <wp:effectExtent l="0" t="0" r="0" b="0"/>
          <wp:wrapNone/>
          <wp:docPr id="1814921072" name="Picture 181492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2E4FE" w14:textId="77777777" w:rsidR="00500F1F" w:rsidRDefault="00500F1F" w:rsidP="003232BF">
      <w:pPr>
        <w:spacing w:after="0" w:line="240" w:lineRule="auto"/>
      </w:pPr>
      <w:r>
        <w:separator/>
      </w:r>
    </w:p>
  </w:footnote>
  <w:footnote w:type="continuationSeparator" w:id="0">
    <w:p w14:paraId="0DCC24C6" w14:textId="77777777" w:rsidR="00500F1F" w:rsidRDefault="00500F1F" w:rsidP="00323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AF2C" w14:textId="19F1897B" w:rsidR="003232BF" w:rsidRDefault="003232BF" w:rsidP="003232BF">
    <w:pPr>
      <w:pStyle w:val="Header"/>
      <w:tabs>
        <w:tab w:val="clear" w:pos="4513"/>
        <w:tab w:val="clear" w:pos="9026"/>
        <w:tab w:val="left" w:pos="7335"/>
      </w:tabs>
    </w:pPr>
    <w:r>
      <w:rPr>
        <w:noProof/>
      </w:rPr>
      <w:drawing>
        <wp:anchor distT="0" distB="0" distL="114300" distR="114300" simplePos="0" relativeHeight="251661312" behindDoc="1" locked="0" layoutInCell="1" allowOverlap="1" wp14:anchorId="7E59EC88" wp14:editId="6233FB17">
          <wp:simplePos x="0" y="0"/>
          <wp:positionH relativeFrom="margin">
            <wp:align>right</wp:align>
          </wp:positionH>
          <wp:positionV relativeFrom="paragraph">
            <wp:posOffset>-267335</wp:posOffset>
          </wp:positionV>
          <wp:extent cx="1568781" cy="600975"/>
          <wp:effectExtent l="0" t="0" r="0" b="8890"/>
          <wp:wrapNone/>
          <wp:docPr id="501312637" name="Picture 5013126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20813"/>
    <w:multiLevelType w:val="multilevel"/>
    <w:tmpl w:val="ED86DAA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50343367"/>
    <w:multiLevelType w:val="multilevel"/>
    <w:tmpl w:val="7ABCEA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090587509">
    <w:abstractNumId w:val="1"/>
  </w:num>
  <w:num w:numId="2" w16cid:durableId="1585604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55"/>
    <w:rsid w:val="003232BF"/>
    <w:rsid w:val="003B1B63"/>
    <w:rsid w:val="00473211"/>
    <w:rsid w:val="00500F1F"/>
    <w:rsid w:val="005236BD"/>
    <w:rsid w:val="005269E7"/>
    <w:rsid w:val="005D248C"/>
    <w:rsid w:val="008B3427"/>
    <w:rsid w:val="009F5055"/>
    <w:rsid w:val="00A25F8C"/>
    <w:rsid w:val="00C23EE4"/>
    <w:rsid w:val="00E22809"/>
    <w:rsid w:val="00F046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E2DEB"/>
  <w15:chartTrackingRefBased/>
  <w15:docId w15:val="{4C144D3B-9F50-4C8D-830D-E8974A14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055"/>
  </w:style>
  <w:style w:type="paragraph" w:styleId="Heading1">
    <w:name w:val="heading 1"/>
    <w:basedOn w:val="Normal"/>
    <w:next w:val="Normal"/>
    <w:link w:val="Heading1Char"/>
    <w:uiPriority w:val="9"/>
    <w:qFormat/>
    <w:rsid w:val="009F5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055"/>
    <w:rPr>
      <w:rFonts w:eastAsiaTheme="majorEastAsia" w:cstheme="majorBidi"/>
      <w:color w:val="272727" w:themeColor="text1" w:themeTint="D8"/>
    </w:rPr>
  </w:style>
  <w:style w:type="paragraph" w:styleId="Title">
    <w:name w:val="Title"/>
    <w:basedOn w:val="Normal"/>
    <w:next w:val="Normal"/>
    <w:link w:val="TitleChar"/>
    <w:uiPriority w:val="10"/>
    <w:qFormat/>
    <w:rsid w:val="009F5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055"/>
    <w:pPr>
      <w:spacing w:before="160"/>
      <w:jc w:val="center"/>
    </w:pPr>
    <w:rPr>
      <w:i/>
      <w:iCs/>
      <w:color w:val="404040" w:themeColor="text1" w:themeTint="BF"/>
    </w:rPr>
  </w:style>
  <w:style w:type="character" w:customStyle="1" w:styleId="QuoteChar">
    <w:name w:val="Quote Char"/>
    <w:basedOn w:val="DefaultParagraphFont"/>
    <w:link w:val="Quote"/>
    <w:uiPriority w:val="29"/>
    <w:rsid w:val="009F5055"/>
    <w:rPr>
      <w:i/>
      <w:iCs/>
      <w:color w:val="404040" w:themeColor="text1" w:themeTint="BF"/>
    </w:rPr>
  </w:style>
  <w:style w:type="paragraph" w:styleId="ListParagraph">
    <w:name w:val="List Paragraph"/>
    <w:basedOn w:val="Normal"/>
    <w:uiPriority w:val="34"/>
    <w:qFormat/>
    <w:rsid w:val="009F5055"/>
    <w:pPr>
      <w:ind w:left="720"/>
      <w:contextualSpacing/>
    </w:pPr>
  </w:style>
  <w:style w:type="character" w:styleId="IntenseEmphasis">
    <w:name w:val="Intense Emphasis"/>
    <w:basedOn w:val="DefaultParagraphFont"/>
    <w:uiPriority w:val="21"/>
    <w:qFormat/>
    <w:rsid w:val="009F5055"/>
    <w:rPr>
      <w:i/>
      <w:iCs/>
      <w:color w:val="0F4761" w:themeColor="accent1" w:themeShade="BF"/>
    </w:rPr>
  </w:style>
  <w:style w:type="paragraph" w:styleId="IntenseQuote">
    <w:name w:val="Intense Quote"/>
    <w:basedOn w:val="Normal"/>
    <w:next w:val="Normal"/>
    <w:link w:val="IntenseQuoteChar"/>
    <w:uiPriority w:val="30"/>
    <w:qFormat/>
    <w:rsid w:val="009F5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055"/>
    <w:rPr>
      <w:i/>
      <w:iCs/>
      <w:color w:val="0F4761" w:themeColor="accent1" w:themeShade="BF"/>
    </w:rPr>
  </w:style>
  <w:style w:type="character" w:styleId="IntenseReference">
    <w:name w:val="Intense Reference"/>
    <w:basedOn w:val="DefaultParagraphFont"/>
    <w:uiPriority w:val="32"/>
    <w:qFormat/>
    <w:rsid w:val="009F5055"/>
    <w:rPr>
      <w:b/>
      <w:bCs/>
      <w:smallCaps/>
      <w:color w:val="0F4761" w:themeColor="accent1" w:themeShade="BF"/>
      <w:spacing w:val="5"/>
    </w:rPr>
  </w:style>
  <w:style w:type="character" w:styleId="Hyperlink">
    <w:name w:val="Hyperlink"/>
    <w:basedOn w:val="DefaultParagraphFont"/>
    <w:uiPriority w:val="99"/>
    <w:unhideWhenUsed/>
    <w:rsid w:val="009F5055"/>
    <w:rPr>
      <w:color w:val="467886" w:themeColor="hyperlink"/>
      <w:u w:val="single"/>
    </w:rPr>
  </w:style>
  <w:style w:type="paragraph" w:styleId="Header">
    <w:name w:val="header"/>
    <w:basedOn w:val="Normal"/>
    <w:link w:val="HeaderChar"/>
    <w:uiPriority w:val="99"/>
    <w:unhideWhenUsed/>
    <w:rsid w:val="003232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2BF"/>
  </w:style>
  <w:style w:type="paragraph" w:styleId="Footer">
    <w:name w:val="footer"/>
    <w:basedOn w:val="Normal"/>
    <w:link w:val="FooterChar"/>
    <w:uiPriority w:val="99"/>
    <w:unhideWhenUsed/>
    <w:rsid w:val="003232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rmersweekly.co.nz/news/ospri-reduces-control-areas-in-battle-against-t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524</Words>
  <Characters>2755</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4</cp:revision>
  <dcterms:created xsi:type="dcterms:W3CDTF">2026-02-03T02:44:00Z</dcterms:created>
  <dcterms:modified xsi:type="dcterms:W3CDTF">2026-03-03T01:43:00Z</dcterms:modified>
</cp:coreProperties>
</file>