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9CF" w:rsidRDefault="004E2EAC">
      <w:r>
        <w:rPr>
          <w:noProof/>
          <w:lang w:eastAsia="en-NZ"/>
        </w:rPr>
        <w:drawing>
          <wp:inline distT="0" distB="0" distL="0" distR="0" wp14:anchorId="45764F70" wp14:editId="35A477A5">
            <wp:extent cx="2228850" cy="2051050"/>
            <wp:effectExtent l="0" t="0" r="0" b="6350"/>
            <wp:docPr id="1" name="Picture 1" descr="http://etalon.gr/blog/wp-content/uploads/2016/08/Cash-flow-t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talon.gr/blog/wp-content/uploads/2016/08/Cash-flow-tan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p w:rsidR="00B119EC" w:rsidRDefault="00BA1D40">
      <w:r>
        <w:fldChar w:fldCharType="begin"/>
      </w:r>
      <w:r>
        <w:instrText xml:space="preserve"> HYPERLINK "http://etalon.gr/blog/2016/08/28/collision-repair-management-101-cash-flow-is-the-emperor-part-3/cash-flow-tank/" </w:instrText>
      </w:r>
      <w:r>
        <w:fldChar w:fldCharType="separate"/>
      </w:r>
      <w:r w:rsidR="004E2EAC">
        <w:rPr>
          <w:rStyle w:val="Hyperlink"/>
        </w:rPr>
        <w:t>http://etalon.gr/blog/2016/08/28/collision-repair-management-101-cash-flow-is-the-emperor-part-3/cash-flow-tank/</w:t>
      </w:r>
      <w:r>
        <w:rPr>
          <w:rStyle w:val="Hyperlink"/>
        </w:rPr>
        <w:fldChar w:fldCharType="end"/>
      </w:r>
      <w:bookmarkEnd w:id="0"/>
    </w:p>
    <w:sectPr w:rsidR="00B11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EAC"/>
    <w:rsid w:val="004E2EAC"/>
    <w:rsid w:val="00741E19"/>
    <w:rsid w:val="009509CF"/>
    <w:rsid w:val="00B119EC"/>
    <w:rsid w:val="00BA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8DA90"/>
  <w15:chartTrackingRefBased/>
  <w15:docId w15:val="{7A7992B2-09B4-41BF-8B3C-429930D1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E2E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09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Simmons</dc:creator>
  <cp:keywords/>
  <dc:description/>
  <cp:lastModifiedBy>Kerry Allen</cp:lastModifiedBy>
  <cp:revision>3</cp:revision>
  <dcterms:created xsi:type="dcterms:W3CDTF">2019-05-30T21:05:00Z</dcterms:created>
  <dcterms:modified xsi:type="dcterms:W3CDTF">2019-05-30T22:50:00Z</dcterms:modified>
</cp:coreProperties>
</file>